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8-K/A</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Amendment No. 1</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May 4, 2026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Gyre Therapeutics,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(Exact name of registrant as specified in its </w:t>
      </w:r>
      <w:bookmarkStart w:id="0" w:name="z_9kMHG5YVt7DA67AXX331y2sq63xC_1"/>
      <w:bookmarkStart w:id="1" w:name="z_9kMHG5YVt7DA67AXX331y2sq63xC"/>
      <w:bookmarkEnd w:id="0"/>
      <w:bookmarkEnd w:id="1"/>
      <w:r>
        <w:rPr>
          <w:rFonts w:ascii="Times New Roman" w:hAnsi="Times New Roman"/>
          <w:color w:val="000000"/>
          <w:sz w:val="20"/>
          <w:shd w:fill="FFFFFF" w:val="clear"/>
        </w:rPr>
        <w:t>charter)</w:t>
      </w:r>
    </w:p>
    <w:p>
      <w:pPr>
        <w:pStyle w:val="TextBody"/>
        <w:bidi w:val="0"/>
        <w:spacing w:before="0" w:after="0"/>
        <w:jc w:val="left"/>
        <w:rPr>
          <w:sz w:val="20"/>
        </w:rPr>
      </w:pPr>
      <w:r>
        <w:rPr>
          <w:sz w:val="20"/>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000-51173</w:t>
            </w:r>
          </w:p>
        </w:tc>
        <w:tc>
          <w:tcPr>
            <w:tcW w:w="27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56-2020050</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12730 High Bluff Drive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Suite 250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San Diego, CA</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92130</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Registrant’s telephone number, including area code: </w:t>
      </w:r>
      <w:r>
        <w:rPr>
          <w:rFonts w:ascii="Times New Roman" w:hAnsi="Times New Roman"/>
          <w:b/>
          <w:color w:val="000000"/>
          <w:sz w:val="20"/>
          <w:shd w:fill="FFFFFF" w:val="clear"/>
        </w:rPr>
        <w:t>(858) 284-0115</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N/A</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(Former name or former address, if changed since last </w:t>
      </w:r>
      <w:bookmarkStart w:id="2" w:name="z_9kMIH5YVt7DA67AXX331y2sq63xC_1"/>
      <w:bookmarkStart w:id="3" w:name="z_9kMIH5YVt7DA67AXX331y2sq63xC"/>
      <w:bookmarkEnd w:id="2"/>
      <w:bookmarkEnd w:id="3"/>
      <w:r>
        <w:rPr>
          <w:rFonts w:ascii="Times New Roman" w:hAnsi="Times New Roman"/>
          <w:color w:val="000000"/>
          <w:sz w:val="20"/>
          <w:shd w:fill="FFFFFF" w:val="clear"/>
        </w:rPr>
        <w:t>report)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w:t>
      </w:r>
      <w:r>
        <w:rPr>
          <w:rFonts w:ascii="Times New Roman" w:hAnsi="Times New Roman"/>
          <w:i/>
          <w:color w:val="000000"/>
          <w:sz w:val="20"/>
          <w:shd w:fill="FFFFFF" w:val="clear"/>
        </w:rPr>
        <w:t>see</w:t>
      </w:r>
      <w:r>
        <w:rPr>
          <w:rFonts w:ascii="Times New Roman" w:hAnsi="Times New Roman"/>
          <w:color w:val="000000"/>
          <w:sz w:val="20"/>
          <w:shd w:fill="FFFFFF" w:val="clear"/>
        </w:rPr>
        <w:t xml:space="preserve"> General Instruction A.2. below):</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5865" w:type="dxa"/>
        <w:jc w:val="left"/>
        <w:tblInd w:w="0" w:type="dxa"/>
        <w:tblLayout w:type="fixed"/>
        <w:tblCellMar>
          <w:top w:w="0" w:type="dxa"/>
          <w:left w:w="0" w:type="dxa"/>
          <w:bottom w:w="28" w:type="dxa"/>
          <w:right w:w="0" w:type="dxa"/>
        </w:tblCellMar>
      </w:tblPr>
      <w:tblGrid>
        <w:gridCol w:w="1475"/>
        <w:gridCol w:w="60"/>
        <w:gridCol w:w="1535"/>
        <w:gridCol w:w="60"/>
        <w:gridCol w:w="2735"/>
      </w:tblGrid>
      <w:tr>
        <w:trPr/>
        <w:tc>
          <w:tcPr>
            <w:tcW w:w="147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73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registered</w:t>
            </w:r>
          </w:p>
        </w:tc>
      </w:tr>
      <w:tr>
        <w:trPr/>
        <w:tc>
          <w:tcPr>
            <w:tcW w:w="14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GYRE</w:t>
            </w:r>
          </w:p>
        </w:tc>
        <w:tc>
          <w:tcPr>
            <w:tcW w:w="60" w:type="dxa"/>
            <w:tcBorders/>
            <w:tcMar>
              <w:bottom w:w="0" w:type="dxa"/>
            </w:tcMar>
            <w:vAlign w:val="center"/>
          </w:tcPr>
          <w:p>
            <w:pPr>
              <w:pStyle w:val="TableContents"/>
              <w:bidi w:val="0"/>
              <w:spacing w:before="0" w:after="283"/>
              <w:jc w:val="left"/>
              <w:rPr/>
            </w:pPr>
            <w:r>
              <w:rPr/>
              <w:t> </w:t>
            </w:r>
          </w:p>
        </w:tc>
        <w:tc>
          <w:tcPr>
            <w:tcW w:w="273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4" w:name="z_9kR3WTr5B8457_1"/>
      <w:bookmarkEnd w:id="4"/>
      <w:r>
        <w:rPr>
          <w:rFonts w:ascii="Times New Roman" w:hAnsi="Times New Roman"/>
          <w:color w:val="000000"/>
          <w:sz w:val="20"/>
          <w:shd w:fill="FFFFFF" w:val="clear"/>
        </w:rPr>
        <w:t>☐</w:t>
      </w:r>
      <w:bookmarkStart w:id="5" w:name="z_9kR3WTr5B8457"/>
      <w:bookmarkEnd w:id="5"/>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INTRODUCTORY NOTE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Amendment No. 1 on Form 8-K/A (“Amendment No. 1”) amends the Current Report on Form 8-K of Gyre Therapeutics, Inc., a Delaware corporation (the “Company” or “Gyre”), filed on May 4, 2026 (the “Original Report”), in which the Company reported, among other events, the closing of the Merger (as defined in the Original Report) with Cullgen Inc., a Delaware corporation (“Cullgen”), on May 4, 2026 (the “Closing Date”).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Amendment No. 1 includes (i) the financial statements of Cullgen as of and for the three months ended March 31, 2026 and the year ended December 31, 2025, and (ii) the unaudited pro forma condensed combined balance sheet of Gyre and Cullgen as of March 31, 2026 and the unaudited pro forma condensed combined statement of operations of Gyre and Cullgen for the three months ended March 31, 2026 and the year ended December 31, 2025 and the related notes.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Amendment No. 1 does not amend any other item of the Original Report or purport to provide an update or a discussion of any developments at the Company or its subsidiaries, including Cullgen, subsequent to the filing date of the Original Report. The information previously reported in or filed with the Original Report is hereby incorporated by reference to this Form 8-K/A.</w:t>
      </w:r>
    </w:p>
    <w:p>
      <w:pPr>
        <w:pStyle w:val="TextBody"/>
        <w:bidi w:val="0"/>
        <w:spacing w:before="0" w:after="0"/>
        <w:jc w:val="left"/>
        <w:rPr>
          <w:sz w:val="20"/>
        </w:rPr>
      </w:pPr>
      <w:r>
        <w:rPr>
          <w:sz w:val="20"/>
        </w:rPr>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2.02.</w:t>
            </w:r>
          </w:p>
        </w:tc>
        <w:tc>
          <w:tcPr>
            <w:tcW w:w="398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Results of Operations and Financial Condition.</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Amendment No. 1 includes (i) the financial statements of Cullgen as of and for the three months ended March 31, 2026 and the year ended December 31, 2025, and (ii) the unaudited pro forma condensed combined balance sheet of Gyre and Cullgen as of March 31, 2026 and the unaudited pro forma condensed combined statement of operations of Gyre and Cullgen for the three months ended March 31, 2026 and the year ended December 31, 2025 and the related notes.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information set forth under Item 9.01 of this Current Report on Form 8-K is incorporated herein by reference.</w:t>
      </w:r>
    </w:p>
    <w:p>
      <w:pPr>
        <w:pStyle w:val="TextBody"/>
        <w:bidi w:val="0"/>
        <w:spacing w:before="0" w:after="0"/>
        <w:jc w:val="left"/>
        <w:rPr>
          <w:sz w:val="20"/>
        </w:rPr>
      </w:pPr>
      <w:r>
        <w:rPr>
          <w:sz w:val="20"/>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both"/>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 Financial Statements of Business Acquired</w:t>
      </w:r>
    </w:p>
    <w:p>
      <w:pPr>
        <w:pStyle w:val="TextBody"/>
        <w:bidi w:val="0"/>
        <w:spacing w:before="0" w:after="0"/>
        <w:jc w:val="both"/>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financial statements of Cullgen as of and for the three months ended March 31, 2026 and the year ended December 31, 2025, and the related notes thereto are attached as Exhibit 99.1 and are incorporated herein by reference.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(b) Pro Forma Financial Information</w:t>
      </w:r>
    </w:p>
    <w:p>
      <w:pPr>
        <w:pStyle w:val="TextBody"/>
        <w:bidi w:val="0"/>
        <w:spacing w:before="0" w:after="0"/>
        <w:jc w:val="both"/>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unaudited pro forma condensed combined balance sheet of Gyre and Cullgen as of March 31, 2026 and the unaudited pro forma condensed combined statement of operations of Gyre and Cullgen for the three months ended March 31, 2026 and the year ended December 31, 2025 and 2024 and the related notes are attached as Exhibit 99.2 and are incorporated herein by reference.</w:t>
      </w:r>
    </w:p>
    <w:p>
      <w:pPr>
        <w:pStyle w:val="TextBody"/>
        <w:bidi w:val="0"/>
        <w:spacing w:before="0" w:after="0"/>
        <w:jc w:val="both"/>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 Exhibits</w:t>
      </w:r>
    </w:p>
    <w:p>
      <w:pPr>
        <w:pStyle w:val="TextBody"/>
        <w:bidi w:val="0"/>
        <w:spacing w:before="0" w:after="0"/>
        <w:jc w:val="both"/>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EXHIBIT INDEX</w:t>
      </w:r>
    </w:p>
    <w:p>
      <w:pPr>
        <w:pStyle w:val="TextBody"/>
        <w:bidi w:val="0"/>
        <w:spacing w:before="0" w:after="0"/>
        <w:jc w:val="center"/>
        <w:rPr>
          <w:sz w:val="20"/>
        </w:rPr>
      </w:pPr>
      <w:r>
        <w:rPr>
          <w:sz w:val="20"/>
        </w:rPr>
      </w:r>
    </w:p>
    <w:tbl>
      <w:tblPr>
        <w:tblW w:w="10205" w:type="dxa"/>
        <w:jc w:val="left"/>
        <w:tblInd w:w="0" w:type="dxa"/>
        <w:tblLayout w:type="fixed"/>
        <w:tblCellMar>
          <w:top w:w="0" w:type="dxa"/>
          <w:left w:w="0" w:type="dxa"/>
          <w:bottom w:w="28" w:type="dxa"/>
          <w:right w:w="0" w:type="dxa"/>
        </w:tblCellMar>
      </w:tblPr>
      <w:tblGrid>
        <w:gridCol w:w="650"/>
        <w:gridCol w:w="60"/>
        <w:gridCol w:w="9495"/>
      </w:tblGrid>
      <w:tr>
        <w:trPr/>
        <w:tc>
          <w:tcPr>
            <w:tcW w:w="650" w:type="dxa"/>
            <w:tcBorders>
              <w:bottom w:val="single" w:sz="12" w:space="0" w:color="000000"/>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Exhibit</w:t>
            </w:r>
          </w:p>
        </w:tc>
        <w:tc>
          <w:tcPr>
            <w:tcW w:w="60" w:type="dxa"/>
            <w:tcBorders/>
            <w:tcMar>
              <w:bottom w:w="0" w:type="dxa"/>
            </w:tcMar>
            <w:vAlign w:val="center"/>
          </w:tcPr>
          <w:p>
            <w:pPr>
              <w:pStyle w:val="TableContents"/>
              <w:bidi w:val="0"/>
              <w:spacing w:before="0" w:after="283"/>
              <w:jc w:val="left"/>
              <w:rPr/>
            </w:pPr>
            <w:r>
              <w:rPr/>
              <w:t> </w:t>
            </w:r>
          </w:p>
        </w:tc>
        <w:tc>
          <w:tcPr>
            <w:tcW w:w="9495"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Description</w:t>
            </w:r>
          </w:p>
        </w:tc>
      </w:tr>
      <w:tr>
        <w:trPr/>
        <w:tc>
          <w:tcPr>
            <w:tcW w:w="650" w:type="dxa"/>
            <w:tcBorders/>
            <w:shd w:fill="CCEEFF" w:val="clear"/>
            <w:tcMar>
              <w:bottom w:w="0" w:type="dxa"/>
            </w:tcMar>
            <w:vAlign w:val="center"/>
          </w:tcPr>
          <w:p>
            <w:pPr>
              <w:pStyle w:val="TableContents"/>
              <w:bidi w:val="0"/>
              <w:spacing w:before="0" w:after="0"/>
              <w:jc w:val="both"/>
              <w:rPr/>
            </w:pPr>
            <w:hyperlink w:anchor="ef20077460_ex23-1.htm">
              <w:r>
                <w:rPr>
                  <w:rStyle w:val="InternetLink"/>
                  <w:rFonts w:ascii="Times New Roman" w:hAnsi="Times New Roman"/>
                  <w:color w:val="000000"/>
                  <w:sz w:val="20"/>
                </w:rPr>
                <w:t>23.1</w:t>
              </w:r>
            </w:hyperlink>
          </w:p>
        </w:tc>
        <w:tc>
          <w:tcPr>
            <w:tcW w:w="6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9495" w:type="dxa"/>
            <w:tcBorders/>
            <w:shd w:fill="CCEEFF" w:val="clear"/>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Consent of Ernst &amp; Young Hua Ming LLP, independent registered public accounting firm of Cullgen Inc.</w:t>
            </w:r>
          </w:p>
        </w:tc>
      </w:tr>
      <w:tr>
        <w:trPr/>
        <w:tc>
          <w:tcPr>
            <w:tcW w:w="650" w:type="dxa"/>
            <w:tcBorders/>
            <w:tcMar>
              <w:bottom w:w="0" w:type="dxa"/>
            </w:tcMar>
            <w:vAlign w:val="center"/>
          </w:tcPr>
          <w:p>
            <w:pPr>
              <w:pStyle w:val="TableContents"/>
              <w:bidi w:val="0"/>
              <w:spacing w:before="0" w:after="0"/>
              <w:jc w:val="both"/>
              <w:rPr/>
            </w:pPr>
            <w:hyperlink w:anchor="ef20077460_ex99-1.htm">
              <w:r>
                <w:rPr>
                  <w:rStyle w:val="InternetLink"/>
                  <w:rFonts w:ascii="Times New Roman" w:hAnsi="Times New Roman"/>
                  <w:color w:val="000000"/>
                  <w:sz w:val="20"/>
                </w:rPr>
                <w:t>99.1</w:t>
              </w:r>
            </w:hyperlink>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94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Financial statements of Cullgen Inc. as of and for the three months ended March 31, 2026 and the year ended December 31, 2025.</w:t>
            </w:r>
          </w:p>
        </w:tc>
      </w:tr>
      <w:tr>
        <w:trPr/>
        <w:tc>
          <w:tcPr>
            <w:tcW w:w="650" w:type="dxa"/>
            <w:tcBorders/>
            <w:shd w:fill="CCEEFF" w:val="clear"/>
            <w:tcMar>
              <w:bottom w:w="0" w:type="dxa"/>
            </w:tcMar>
            <w:vAlign w:val="center"/>
          </w:tcPr>
          <w:p>
            <w:pPr>
              <w:pStyle w:val="TableContents"/>
              <w:bidi w:val="0"/>
              <w:spacing w:before="0" w:after="0"/>
              <w:jc w:val="both"/>
              <w:rPr/>
            </w:pPr>
            <w:hyperlink w:anchor="ef20077460_ex99-2.htm">
              <w:r>
                <w:rPr>
                  <w:rStyle w:val="InternetLink"/>
                  <w:rFonts w:ascii="Times New Roman" w:hAnsi="Times New Roman"/>
                  <w:color w:val="000000"/>
                  <w:sz w:val="20"/>
                </w:rPr>
                <w:t>99.2</w:t>
              </w:r>
            </w:hyperlink>
          </w:p>
        </w:tc>
        <w:tc>
          <w:tcPr>
            <w:tcW w:w="60" w:type="dxa"/>
            <w:tcBorders/>
            <w:shd w:fill="CCEEFF" w:val="clear"/>
            <w:tcMar>
              <w:bottom w:w="0" w:type="dxa"/>
            </w:tcMar>
            <w:vAlign w:val="center"/>
          </w:tcPr>
          <w:p>
            <w:pPr>
              <w:pStyle w:val="TableContents"/>
              <w:bidi w:val="0"/>
              <w:spacing w:before="0" w:after="283"/>
              <w:jc w:val="left"/>
              <w:rPr>
                <w:color w:val="000000"/>
              </w:rPr>
            </w:pPr>
            <w:r>
              <w:rPr>
                <w:color w:val="000000"/>
              </w:rPr>
              <w:t> </w:t>
            </w:r>
          </w:p>
        </w:tc>
        <w:tc>
          <w:tcPr>
            <w:tcW w:w="9495" w:type="dxa"/>
            <w:tcBorders/>
            <w:shd w:fill="CCEEFF" w:val="clear"/>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Unaudited pro forma condensed combined balance sheet of Gyre Therapeutics, Inc. and Cullgen Inc. as of March 31, 2026 and the unaudited pro forma condensed combined statement of operations for the three months ended March 31, 2026 and the years ended December 31, 2025 and 2024.</w:t>
            </w:r>
          </w:p>
        </w:tc>
      </w:tr>
      <w:tr>
        <w:trPr/>
        <w:tc>
          <w:tcPr>
            <w:tcW w:w="650"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283"/>
              <w:jc w:val="left"/>
              <w:rPr/>
            </w:pPr>
            <w:r>
              <w:rPr/>
              <w:t> </w:t>
            </w:r>
          </w:p>
        </w:tc>
        <w:tc>
          <w:tcPr>
            <w:tcW w:w="94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center"/>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sz w:val="20"/>
        </w:rPr>
      </w:pPr>
      <w:r>
        <w:rPr>
          <w:sz w:val="20"/>
        </w:rPr>
      </w:r>
    </w:p>
    <w:tbl>
      <w:tblPr>
        <w:tblW w:w="4095" w:type="dxa"/>
        <w:jc w:val="left"/>
        <w:tblInd w:w="0" w:type="dxa"/>
        <w:tblLayout w:type="fixed"/>
        <w:tblCellMar>
          <w:top w:w="0" w:type="dxa"/>
          <w:left w:w="0" w:type="dxa"/>
          <w:bottom w:w="0" w:type="dxa"/>
          <w:right w:w="0" w:type="dxa"/>
        </w:tblCellMar>
      </w:tblPr>
      <w:tblGrid>
        <w:gridCol w:w="1610"/>
        <w:gridCol w:w="545"/>
        <w:gridCol w:w="1940"/>
      </w:tblGrid>
      <w:tr>
        <w:trPr/>
        <w:tc>
          <w:tcPr>
            <w:tcW w:w="161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Gyre Therapeutics, Inc.</w:t>
            </w:r>
          </w:p>
        </w:tc>
      </w:tr>
      <w:tr>
        <w:trPr/>
        <w:tc>
          <w:tcPr>
            <w:tcW w:w="161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July 15, 2026</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194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Ying Luo</w:t>
            </w:r>
          </w:p>
        </w:tc>
      </w:tr>
      <w:tr>
        <w:trPr/>
        <w:tc>
          <w:tcPr>
            <w:tcW w:w="161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19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Ying Luo</w:t>
            </w:r>
          </w:p>
        </w:tc>
      </w:tr>
      <w:tr>
        <w:trPr/>
        <w:tc>
          <w:tcPr>
            <w:tcW w:w="161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19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right"/>
        <w:rPr/>
      </w:pPr>
      <w:r>
        <w:rPr/>
      </w:r>
      <w:bookmarkStart w:id="6" w:name="ef20077460_ex23-1.htm"/>
      <w:bookmarkStart w:id="7" w:name="ksef20077460_ex231"/>
      <w:bookmarkStart w:id="8" w:name="ef20077460_ex23-1.htm"/>
      <w:bookmarkStart w:id="9" w:name="ksef20077460_ex231"/>
      <w:bookmarkEnd w:id="8"/>
      <w:bookmarkEnd w:id="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consent to the incorporation by reference in the following Registration Statements: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9ec3e1db458e4c63a57c281cce63a0cf"/>
      <w:bookmarkStart w:id="11" w:name="z9ec3e1db458e4c63a57c281cce63a0cf"/>
      <w:bookmarkEnd w:id="11"/>
    </w:p>
    <w:tbl>
      <w:tblPr>
        <w:tblW w:w="6828" w:type="dxa"/>
        <w:jc w:val="left"/>
        <w:tblInd w:w="0" w:type="dxa"/>
        <w:tblLayout w:type="fixed"/>
        <w:tblCellMar>
          <w:top w:w="0" w:type="dxa"/>
          <w:left w:w="0" w:type="dxa"/>
          <w:bottom w:w="0" w:type="dxa"/>
          <w:right w:w="0" w:type="dxa"/>
        </w:tblCellMar>
      </w:tblPr>
      <w:tblGrid>
        <w:gridCol w:w="38"/>
        <w:gridCol w:w="245"/>
        <w:gridCol w:w="654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6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Registration Statement (Form S-3/A No. 333-273395) of Gyre Therapeutics, Inc.,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79368c47e4814c41925382d1fbb558c4"/>
      <w:bookmarkStart w:id="13" w:name="z79368c47e4814c41925382d1fbb558c4"/>
      <w:bookmarkEnd w:id="13"/>
    </w:p>
    <w:tbl>
      <w:tblPr>
        <w:tblW w:w="6633" w:type="dxa"/>
        <w:jc w:val="left"/>
        <w:tblInd w:w="0" w:type="dxa"/>
        <w:tblLayout w:type="fixed"/>
        <w:tblCellMar>
          <w:top w:w="0" w:type="dxa"/>
          <w:left w:w="0" w:type="dxa"/>
          <w:bottom w:w="0" w:type="dxa"/>
          <w:right w:w="0" w:type="dxa"/>
        </w:tblCellMar>
      </w:tblPr>
      <w:tblGrid>
        <w:gridCol w:w="38"/>
        <w:gridCol w:w="245"/>
        <w:gridCol w:w="635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63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Registration Statement (Form S-3 No. 333-283237) of Gyre Therapeutics, Inc.,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cb81266d00584c10a152aaec89d470fa"/>
      <w:bookmarkStart w:id="15" w:name="zcb81266d00584c10a152aaec89d470fa"/>
      <w:bookmarkEnd w:id="15"/>
    </w:p>
    <w:tbl>
      <w:tblPr>
        <w:tblW w:w="6633" w:type="dxa"/>
        <w:jc w:val="left"/>
        <w:tblInd w:w="0" w:type="dxa"/>
        <w:tblLayout w:type="fixed"/>
        <w:tblCellMar>
          <w:top w:w="0" w:type="dxa"/>
          <w:left w:w="0" w:type="dxa"/>
          <w:bottom w:w="0" w:type="dxa"/>
          <w:right w:w="0" w:type="dxa"/>
        </w:tblCellMar>
      </w:tblPr>
      <w:tblGrid>
        <w:gridCol w:w="38"/>
        <w:gridCol w:w="245"/>
        <w:gridCol w:w="635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63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Registration Statement (Form S-3 No. 333-296957) of Gyre Therapeutics, Inc.,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c9c0ad58fa9b4971a48eb3886b274f9e"/>
      <w:bookmarkStart w:id="17" w:name="zc9c0ad58fa9b4971a48eb3886b274f9e"/>
      <w:bookmarkEnd w:id="17"/>
    </w:p>
    <w:tbl>
      <w:tblPr>
        <w:tblW w:w="6633" w:type="dxa"/>
        <w:jc w:val="left"/>
        <w:tblInd w:w="0" w:type="dxa"/>
        <w:tblLayout w:type="fixed"/>
        <w:tblCellMar>
          <w:top w:w="0" w:type="dxa"/>
          <w:left w:w="0" w:type="dxa"/>
          <w:bottom w:w="0" w:type="dxa"/>
          <w:right w:w="0" w:type="dxa"/>
        </w:tblCellMar>
      </w:tblPr>
      <w:tblGrid>
        <w:gridCol w:w="38"/>
        <w:gridCol w:w="245"/>
        <w:gridCol w:w="635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63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Registration Statement (Form S-8 No. 333-206523) of Gyre Therapeutics, Inc.,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7aecd3f6e55d4632ba9350a8e5a74ae1"/>
      <w:bookmarkStart w:id="19" w:name="z7aecd3f6e55d4632ba9350a8e5a74ae1"/>
      <w:bookmarkEnd w:id="19"/>
    </w:p>
    <w:tbl>
      <w:tblPr>
        <w:tblW w:w="6633" w:type="dxa"/>
        <w:jc w:val="left"/>
        <w:tblInd w:w="0" w:type="dxa"/>
        <w:tblLayout w:type="fixed"/>
        <w:tblCellMar>
          <w:top w:w="0" w:type="dxa"/>
          <w:left w:w="0" w:type="dxa"/>
          <w:bottom w:w="0" w:type="dxa"/>
          <w:right w:w="0" w:type="dxa"/>
        </w:tblCellMar>
      </w:tblPr>
      <w:tblGrid>
        <w:gridCol w:w="38"/>
        <w:gridCol w:w="245"/>
        <w:gridCol w:w="635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63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Registration Statement (Form S-8 No. 333-206526) of Gyre Therapeutics, Inc.,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5afd8d3d75a54f47841226dd9cf38960"/>
      <w:bookmarkStart w:id="21" w:name="z5afd8d3d75a54f47841226dd9cf38960"/>
      <w:bookmarkEnd w:id="21"/>
    </w:p>
    <w:tbl>
      <w:tblPr>
        <w:tblW w:w="6633" w:type="dxa"/>
        <w:jc w:val="left"/>
        <w:tblInd w:w="0" w:type="dxa"/>
        <w:tblLayout w:type="fixed"/>
        <w:tblCellMar>
          <w:top w:w="0" w:type="dxa"/>
          <w:left w:w="0" w:type="dxa"/>
          <w:bottom w:w="0" w:type="dxa"/>
          <w:right w:w="0" w:type="dxa"/>
        </w:tblCellMar>
      </w:tblPr>
      <w:tblGrid>
        <w:gridCol w:w="38"/>
        <w:gridCol w:w="245"/>
        <w:gridCol w:w="635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(6)</w:t>
            </w:r>
          </w:p>
        </w:tc>
        <w:tc>
          <w:tcPr>
            <w:tcW w:w="63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Registration Statement (Form S-8 No. 333-212345) of Gyre Therapeutics, Inc.,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826ac7eba38e48ecb15f83baa9bdeb63"/>
      <w:bookmarkStart w:id="23" w:name="z826ac7eba38e48ecb15f83baa9bdeb63"/>
      <w:bookmarkEnd w:id="23"/>
    </w:p>
    <w:tbl>
      <w:tblPr>
        <w:tblW w:w="6633" w:type="dxa"/>
        <w:jc w:val="left"/>
        <w:tblInd w:w="0" w:type="dxa"/>
        <w:tblLayout w:type="fixed"/>
        <w:tblCellMar>
          <w:top w:w="0" w:type="dxa"/>
          <w:left w:w="0" w:type="dxa"/>
          <w:bottom w:w="0" w:type="dxa"/>
          <w:right w:w="0" w:type="dxa"/>
        </w:tblCellMar>
      </w:tblPr>
      <w:tblGrid>
        <w:gridCol w:w="38"/>
        <w:gridCol w:w="245"/>
        <w:gridCol w:w="635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(7)</w:t>
            </w:r>
          </w:p>
        </w:tc>
        <w:tc>
          <w:tcPr>
            <w:tcW w:w="63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Registration Statement (Form S-8 No. 333-219301) of Gyre Therapeutics, Inc.,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 w:name="z10d30d4decab450b9cb3a3300f11c697"/>
      <w:bookmarkStart w:id="25" w:name="z10d30d4decab450b9cb3a3300f11c697"/>
      <w:bookmarkEnd w:id="25"/>
    </w:p>
    <w:tbl>
      <w:tblPr>
        <w:tblW w:w="6633" w:type="dxa"/>
        <w:jc w:val="left"/>
        <w:tblInd w:w="0" w:type="dxa"/>
        <w:tblLayout w:type="fixed"/>
        <w:tblCellMar>
          <w:top w:w="0" w:type="dxa"/>
          <w:left w:w="0" w:type="dxa"/>
          <w:bottom w:w="0" w:type="dxa"/>
          <w:right w:w="0" w:type="dxa"/>
        </w:tblCellMar>
      </w:tblPr>
      <w:tblGrid>
        <w:gridCol w:w="38"/>
        <w:gridCol w:w="245"/>
        <w:gridCol w:w="635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(8)</w:t>
            </w:r>
          </w:p>
        </w:tc>
        <w:tc>
          <w:tcPr>
            <w:tcW w:w="63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Registration Statement (Form S-8 No. 333-225902) of Gyre Therapeutics, Inc.,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 w:name="zb723e00f4adc4d29a4cb1992cba3b94b"/>
      <w:bookmarkStart w:id="27" w:name="zb723e00f4adc4d29a4cb1992cba3b94b"/>
      <w:bookmarkEnd w:id="27"/>
    </w:p>
    <w:tbl>
      <w:tblPr>
        <w:tblW w:w="6633" w:type="dxa"/>
        <w:jc w:val="left"/>
        <w:tblInd w:w="0" w:type="dxa"/>
        <w:tblLayout w:type="fixed"/>
        <w:tblCellMar>
          <w:top w:w="0" w:type="dxa"/>
          <w:left w:w="0" w:type="dxa"/>
          <w:bottom w:w="0" w:type="dxa"/>
          <w:right w:w="0" w:type="dxa"/>
        </w:tblCellMar>
      </w:tblPr>
      <w:tblGrid>
        <w:gridCol w:w="38"/>
        <w:gridCol w:w="245"/>
        <w:gridCol w:w="635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(9)</w:t>
            </w:r>
          </w:p>
        </w:tc>
        <w:tc>
          <w:tcPr>
            <w:tcW w:w="63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Registration Statement (Form S-8 No. 333-239712) of Gyre Therapeutics, Inc.,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f66e71467a96489b9804560fb38e5d5d"/>
      <w:bookmarkStart w:id="29" w:name="zf66e71467a96489b9804560fb38e5d5d"/>
      <w:bookmarkEnd w:id="29"/>
    </w:p>
    <w:tbl>
      <w:tblPr>
        <w:tblW w:w="6738" w:type="dxa"/>
        <w:jc w:val="left"/>
        <w:tblInd w:w="0" w:type="dxa"/>
        <w:tblLayout w:type="fixed"/>
        <w:tblCellMar>
          <w:top w:w="0" w:type="dxa"/>
          <w:left w:w="0" w:type="dxa"/>
          <w:bottom w:w="0" w:type="dxa"/>
          <w:right w:w="0" w:type="dxa"/>
        </w:tblCellMar>
      </w:tblPr>
      <w:tblGrid>
        <w:gridCol w:w="38"/>
        <w:gridCol w:w="350"/>
        <w:gridCol w:w="635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(10)</w:t>
            </w:r>
          </w:p>
        </w:tc>
        <w:tc>
          <w:tcPr>
            <w:tcW w:w="63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Registration Statement (Form S-8 No. 333-264027) of Gyre Therapeutics, Inc.,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 w:name="zda150624e32d47769c6b49b3e699e912"/>
      <w:bookmarkStart w:id="31" w:name="zda150624e32d47769c6b49b3e699e912"/>
      <w:bookmarkEnd w:id="31"/>
    </w:p>
    <w:tbl>
      <w:tblPr>
        <w:tblW w:w="6738" w:type="dxa"/>
        <w:jc w:val="left"/>
        <w:tblInd w:w="0" w:type="dxa"/>
        <w:tblLayout w:type="fixed"/>
        <w:tblCellMar>
          <w:top w:w="0" w:type="dxa"/>
          <w:left w:w="0" w:type="dxa"/>
          <w:bottom w:w="0" w:type="dxa"/>
          <w:right w:w="0" w:type="dxa"/>
        </w:tblCellMar>
      </w:tblPr>
      <w:tblGrid>
        <w:gridCol w:w="38"/>
        <w:gridCol w:w="350"/>
        <w:gridCol w:w="635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(11)</w:t>
            </w:r>
          </w:p>
        </w:tc>
        <w:tc>
          <w:tcPr>
            <w:tcW w:w="63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Registration Statement (Form S-8 No. 333-275222) of Gyre Therapeutics, Inc.,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 w:name="ze771467a9804484aa77c0e88ba1601bf"/>
      <w:bookmarkStart w:id="33" w:name="ze771467a9804484aa77c0e88ba1601bf"/>
      <w:bookmarkEnd w:id="33"/>
    </w:p>
    <w:tbl>
      <w:tblPr>
        <w:tblW w:w="6738" w:type="dxa"/>
        <w:jc w:val="left"/>
        <w:tblInd w:w="0" w:type="dxa"/>
        <w:tblLayout w:type="fixed"/>
        <w:tblCellMar>
          <w:top w:w="0" w:type="dxa"/>
          <w:left w:w="0" w:type="dxa"/>
          <w:bottom w:w="0" w:type="dxa"/>
          <w:right w:w="0" w:type="dxa"/>
        </w:tblCellMar>
      </w:tblPr>
      <w:tblGrid>
        <w:gridCol w:w="38"/>
        <w:gridCol w:w="350"/>
        <w:gridCol w:w="635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(12)</w:t>
            </w:r>
          </w:p>
        </w:tc>
        <w:tc>
          <w:tcPr>
            <w:tcW w:w="63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Registration Statement (Form S-8 No. 333-278291) of Gyre Therapeutics, Inc.,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 w:name="zc1e775f582374cc781ace19460ea0cc4"/>
      <w:bookmarkStart w:id="35" w:name="zc1e775f582374cc781ace19460ea0cc4"/>
      <w:bookmarkEnd w:id="35"/>
    </w:p>
    <w:tbl>
      <w:tblPr>
        <w:tblW w:w="7083" w:type="dxa"/>
        <w:jc w:val="left"/>
        <w:tblInd w:w="0" w:type="dxa"/>
        <w:tblLayout w:type="fixed"/>
        <w:tblCellMar>
          <w:top w:w="0" w:type="dxa"/>
          <w:left w:w="0" w:type="dxa"/>
          <w:bottom w:w="0" w:type="dxa"/>
          <w:right w:w="0" w:type="dxa"/>
        </w:tblCellMar>
      </w:tblPr>
      <w:tblGrid>
        <w:gridCol w:w="38"/>
        <w:gridCol w:w="350"/>
        <w:gridCol w:w="6695"/>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(13)</w:t>
            </w:r>
          </w:p>
        </w:tc>
        <w:tc>
          <w:tcPr>
            <w:tcW w:w="66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Registration Statement (Form S-8 No. 333-285954) of Gyre Therapeutics, Inc.,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 w:name="zf0b32e0325454982a3f3d8eab16fe743"/>
      <w:bookmarkStart w:id="37" w:name="zf0b32e0325454982a3f3d8eab16fe743"/>
      <w:bookmarkEnd w:id="37"/>
    </w:p>
    <w:tbl>
      <w:tblPr>
        <w:tblW w:w="6693" w:type="dxa"/>
        <w:jc w:val="left"/>
        <w:tblInd w:w="0" w:type="dxa"/>
        <w:tblLayout w:type="fixed"/>
        <w:tblCellMar>
          <w:top w:w="0" w:type="dxa"/>
          <w:left w:w="0" w:type="dxa"/>
          <w:bottom w:w="0" w:type="dxa"/>
          <w:right w:w="0" w:type="dxa"/>
        </w:tblCellMar>
      </w:tblPr>
      <w:tblGrid>
        <w:gridCol w:w="38"/>
        <w:gridCol w:w="350"/>
        <w:gridCol w:w="6305"/>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(14)</w:t>
            </w:r>
          </w:p>
        </w:tc>
        <w:tc>
          <w:tcPr>
            <w:tcW w:w="63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Registration Statement (Form S-8 No. 333-296657) of Gyre Therapeutics, Inc.</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of our report dated July 15, 2026, with respect to the consolidated financial statements of Cullgen Inc. included in this Form 8-K/A of Gyre Therapeutics, Inc. for the year ended December 31, 2025.</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 Ernst &amp; Young Hua Ming LLP</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Shanghai, the People’s Republic of China</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July 15, 2026</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8" w:name="ef20077460_ex99-1.htm"/>
      <w:bookmarkStart w:id="39" w:name="ksef20077460_ex991"/>
      <w:bookmarkStart w:id="40" w:name="ef20077460_ex99-1.htm"/>
      <w:bookmarkStart w:id="41" w:name="ksef20077460_ex991"/>
      <w:bookmarkEnd w:id="40"/>
      <w:bookmarkEnd w:id="4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To the Shareholders and the Board of Directors of Cullgen Inc.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have audited the accompanying consolidated balance sheet of Cullgen Inc. (the Company) as of December 31, 2025, the related consolidated statements of comprehensive loss, redeemable convertible preferred stock and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at December 31, 2025, and the results of its operations and its cash flows for the year then ended, in conformity with U.S. generally accepted accounting principles.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 Ernst &amp; Young Hua Ming LLP</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have served as the Company’s auditor since 2025.</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Shanghai, the People’s Republic of China</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July 15, 2026</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42" w:name="INDEX"/>
      <w:bookmarkEnd w:id="42"/>
      <w:r>
        <w:rPr>
          <w:rFonts w:ascii="Times New Roman" w:hAnsi="Times New Roman"/>
          <w:b/>
          <w:color w:val="000000"/>
          <w:sz w:val="20"/>
        </w:rPr>
        <w:t>INDEX TO CULLGEN’S CONSOLIDATED FINANCIAL STATEMENTS</w:t>
      </w:r>
    </w:p>
    <w:p>
      <w:pPr>
        <w:pStyle w:val="TextBody"/>
        <w:bidi w:val="0"/>
        <w:spacing w:before="0" w:after="0"/>
        <w:jc w:val="left"/>
        <w:rPr>
          <w:sz w:val="20"/>
        </w:rPr>
      </w:pPr>
      <w:r>
        <w:rPr>
          <w:sz w:val="20"/>
        </w:rPr>
      </w:r>
      <w:bookmarkStart w:id="43" w:name="z8e99e939b2e946ac896d130c8bd01114"/>
      <w:bookmarkStart w:id="44" w:name="z8e99e939b2e946ac896d130c8bd01114"/>
      <w:bookmarkEnd w:id="44"/>
    </w:p>
    <w:tbl>
      <w:tblPr>
        <w:tblW w:w="10205" w:type="dxa"/>
        <w:jc w:val="left"/>
        <w:tblInd w:w="0" w:type="dxa"/>
        <w:tblLayout w:type="fixed"/>
        <w:tblCellMar>
          <w:top w:w="0" w:type="dxa"/>
          <w:left w:w="0" w:type="dxa"/>
          <w:bottom w:w="0" w:type="dxa"/>
          <w:right w:w="0" w:type="dxa"/>
        </w:tblCellMar>
      </w:tblPr>
      <w:tblGrid>
        <w:gridCol w:w="9795"/>
        <w:gridCol w:w="410"/>
      </w:tblGrid>
      <w:tr>
        <w:trPr/>
        <w:tc>
          <w:tcPr>
            <w:tcW w:w="9795" w:type="dxa"/>
            <w:tcBorders/>
            <w:vAlign w:val="center"/>
          </w:tcPr>
          <w:p>
            <w:pPr>
              <w:pStyle w:val="TableContents"/>
              <w:bidi w:val="0"/>
              <w:spacing w:before="0" w:after="283"/>
              <w:jc w:val="left"/>
              <w:rPr/>
            </w:pPr>
            <w:r>
              <w:rPr/>
              <w:t> </w:t>
            </w:r>
          </w:p>
        </w:tc>
        <w:tc>
          <w:tcPr>
            <w:tcW w:w="410" w:type="dxa"/>
            <w:tcBorders>
              <w:bottom w:val="single" w:sz="12" w:space="0" w:color="000000"/>
            </w:tcBorders>
            <w:tcMar>
              <w:bottom w:w="28" w:type="dxa"/>
            </w:tcMar>
            <w:vAlign w:val="center"/>
          </w:tcPr>
          <w:p>
            <w:pPr>
              <w:pStyle w:val="TableContents"/>
              <w:bidi w:val="0"/>
              <w:spacing w:before="0" w:after="0"/>
              <w:jc w:val="center"/>
              <w:rPr>
                <w:color w:val="000000"/>
                <w:sz w:val="20"/>
              </w:rPr>
            </w:pPr>
            <w:r>
              <w:rPr>
                <w:color w:val="000000"/>
                <w:sz w:val="20"/>
              </w:rPr>
              <w:t>Page</w:t>
            </w:r>
          </w:p>
        </w:tc>
      </w:tr>
      <w:tr>
        <w:trPr/>
        <w:tc>
          <w:tcPr>
            <w:tcW w:w="9795" w:type="dxa"/>
            <w:tcBorders/>
            <w:shd w:fill="CCEEFF" w:val="clear"/>
            <w:vAlign w:val="center"/>
          </w:tcPr>
          <w:p>
            <w:pPr>
              <w:pStyle w:val="TableContents"/>
              <w:bidi w:val="0"/>
              <w:spacing w:before="0" w:after="0"/>
              <w:ind w:left="180" w:right="0" w:hanging="180"/>
              <w:jc w:val="left"/>
              <w:rPr/>
            </w:pPr>
            <w:hyperlink w:anchor="ConsolidatedBalanceSheets">
              <w:r>
                <w:rPr>
                  <w:rStyle w:val="InternetLink"/>
                  <w:color w:val="000000"/>
                  <w:sz w:val="20"/>
                </w:rPr>
                <w:t>Consolidated Balance Sheet as of December 31, 2025</w:t>
              </w:r>
            </w:hyperlink>
          </w:p>
        </w:tc>
        <w:tc>
          <w:tcPr>
            <w:tcW w:w="410" w:type="dxa"/>
            <w:tcBorders/>
            <w:shd w:fill="CCEEFF" w:val="clear"/>
            <w:vAlign w:val="center"/>
          </w:tcPr>
          <w:p>
            <w:pPr>
              <w:pStyle w:val="TableContents"/>
              <w:bidi w:val="0"/>
              <w:spacing w:before="0" w:after="0"/>
              <w:jc w:val="center"/>
              <w:rPr>
                <w:color w:val="000000"/>
                <w:sz w:val="20"/>
              </w:rPr>
            </w:pPr>
            <w:r>
              <w:rPr>
                <w:color w:val="000000"/>
                <w:sz w:val="20"/>
              </w:rPr>
              <w:t>3</w:t>
            </w:r>
          </w:p>
        </w:tc>
      </w:tr>
      <w:tr>
        <w:trPr/>
        <w:tc>
          <w:tcPr>
            <w:tcW w:w="9795" w:type="dxa"/>
            <w:tcBorders/>
            <w:vAlign w:val="center"/>
          </w:tcPr>
          <w:p>
            <w:pPr>
              <w:pStyle w:val="TableContents"/>
              <w:bidi w:val="0"/>
              <w:spacing w:before="0" w:after="0"/>
              <w:ind w:left="180" w:right="0" w:hanging="180"/>
              <w:jc w:val="left"/>
              <w:rPr/>
            </w:pPr>
            <w:hyperlink w:anchor="ConsolidatedStatementsofC">
              <w:r>
                <w:rPr>
                  <w:rStyle w:val="InternetLink"/>
                  <w:color w:val="000000"/>
                  <w:sz w:val="20"/>
                </w:rPr>
                <w:t>Consolidated Statement of Comprehensive Loss for the Year Ended December 31, 2025</w:t>
              </w:r>
            </w:hyperlink>
          </w:p>
        </w:tc>
        <w:tc>
          <w:tcPr>
            <w:tcW w:w="410" w:type="dxa"/>
            <w:tcBorders/>
            <w:vAlign w:val="center"/>
          </w:tcPr>
          <w:p>
            <w:pPr>
              <w:pStyle w:val="TableContents"/>
              <w:bidi w:val="0"/>
              <w:spacing w:before="0" w:after="0"/>
              <w:jc w:val="center"/>
              <w:rPr>
                <w:color w:val="000000"/>
                <w:sz w:val="20"/>
              </w:rPr>
            </w:pPr>
            <w:r>
              <w:rPr>
                <w:color w:val="000000"/>
                <w:sz w:val="20"/>
              </w:rPr>
              <w:t>4</w:t>
            </w:r>
          </w:p>
        </w:tc>
      </w:tr>
      <w:tr>
        <w:trPr/>
        <w:tc>
          <w:tcPr>
            <w:tcW w:w="9795" w:type="dxa"/>
            <w:tcBorders/>
            <w:shd w:fill="CCEEFF" w:val="clear"/>
            <w:vAlign w:val="center"/>
          </w:tcPr>
          <w:p>
            <w:pPr>
              <w:pStyle w:val="TableContents"/>
              <w:bidi w:val="0"/>
              <w:spacing w:before="0" w:after="0"/>
              <w:ind w:left="180" w:right="0" w:hanging="180"/>
              <w:jc w:val="left"/>
              <w:rPr/>
            </w:pPr>
            <w:hyperlink w:anchor="ConsolidatedStatementsofR">
              <w:r>
                <w:rPr>
                  <w:rStyle w:val="InternetLink"/>
                  <w:color w:val="000000"/>
                  <w:sz w:val="20"/>
                </w:rPr>
                <w:t>Consolidated Statement of Changes in Redeemable Convertible Preferred Stock and Stockholders’ Deficit for the Year Ended December 31, 2025</w:t>
              </w:r>
            </w:hyperlink>
          </w:p>
        </w:tc>
        <w:tc>
          <w:tcPr>
            <w:tcW w:w="410" w:type="dxa"/>
            <w:tcBorders/>
            <w:shd w:fill="CCEEFF" w:val="clear"/>
            <w:vAlign w:val="center"/>
          </w:tcPr>
          <w:p>
            <w:pPr>
              <w:pStyle w:val="TableContents"/>
              <w:bidi w:val="0"/>
              <w:spacing w:before="0" w:after="0"/>
              <w:jc w:val="center"/>
              <w:rPr>
                <w:color w:val="000000"/>
                <w:sz w:val="20"/>
              </w:rPr>
            </w:pPr>
            <w:r>
              <w:rPr>
                <w:color w:val="000000"/>
                <w:sz w:val="20"/>
              </w:rPr>
              <w:t>5</w:t>
            </w:r>
          </w:p>
        </w:tc>
      </w:tr>
      <w:tr>
        <w:trPr/>
        <w:tc>
          <w:tcPr>
            <w:tcW w:w="9795" w:type="dxa"/>
            <w:tcBorders/>
            <w:vAlign w:val="center"/>
          </w:tcPr>
          <w:p>
            <w:pPr>
              <w:pStyle w:val="TableContents"/>
              <w:bidi w:val="0"/>
              <w:spacing w:before="0" w:after="0"/>
              <w:ind w:left="180" w:right="0" w:hanging="180"/>
              <w:jc w:val="left"/>
              <w:rPr/>
            </w:pPr>
            <w:hyperlink w:anchor="CashFlows">
              <w:r>
                <w:rPr>
                  <w:rStyle w:val="InternetLink"/>
                  <w:color w:val="000000"/>
                  <w:sz w:val="20"/>
                </w:rPr>
                <w:t>Consolidated Statement of Cash Flows for the Year Ended December 31, 2025</w:t>
              </w:r>
            </w:hyperlink>
          </w:p>
        </w:tc>
        <w:tc>
          <w:tcPr>
            <w:tcW w:w="410" w:type="dxa"/>
            <w:tcBorders/>
            <w:vAlign w:val="center"/>
          </w:tcPr>
          <w:p>
            <w:pPr>
              <w:pStyle w:val="TableContents"/>
              <w:bidi w:val="0"/>
              <w:spacing w:before="0" w:after="0"/>
              <w:jc w:val="center"/>
              <w:rPr>
                <w:color w:val="000000"/>
                <w:sz w:val="20"/>
              </w:rPr>
            </w:pPr>
            <w:r>
              <w:rPr>
                <w:color w:val="000000"/>
                <w:sz w:val="20"/>
              </w:rPr>
              <w:t>6</w:t>
            </w:r>
          </w:p>
        </w:tc>
      </w:tr>
      <w:tr>
        <w:trPr/>
        <w:tc>
          <w:tcPr>
            <w:tcW w:w="9795" w:type="dxa"/>
            <w:tcBorders/>
            <w:shd w:fill="CCEEFF" w:val="clear"/>
            <w:vAlign w:val="center"/>
          </w:tcPr>
          <w:p>
            <w:pPr>
              <w:pStyle w:val="TableContents"/>
              <w:bidi w:val="0"/>
              <w:spacing w:before="0" w:after="0"/>
              <w:ind w:left="180" w:right="0" w:hanging="180"/>
              <w:jc w:val="left"/>
              <w:rPr/>
            </w:pPr>
            <w:hyperlink w:anchor="NotestoConsolidatedFinanc">
              <w:r>
                <w:rPr>
                  <w:rStyle w:val="InternetLink"/>
                  <w:color w:val="000000"/>
                  <w:sz w:val="20"/>
                </w:rPr>
                <w:t>Notes to audited Consolidated Financial Statement for the Year Ended December 31, 2025</w:t>
              </w:r>
            </w:hyperlink>
          </w:p>
        </w:tc>
        <w:tc>
          <w:tcPr>
            <w:tcW w:w="410" w:type="dxa"/>
            <w:tcBorders/>
            <w:shd w:fill="CCEEFF" w:val="clear"/>
            <w:vAlign w:val="center"/>
          </w:tcPr>
          <w:p>
            <w:pPr>
              <w:pStyle w:val="TableContents"/>
              <w:bidi w:val="0"/>
              <w:spacing w:before="0" w:after="0"/>
              <w:jc w:val="center"/>
              <w:rPr>
                <w:color w:val="000000"/>
                <w:sz w:val="20"/>
              </w:rPr>
            </w:pPr>
            <w:r>
              <w:rPr>
                <w:color w:val="000000"/>
                <w:sz w:val="20"/>
              </w:rPr>
              <w:t>7</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b/>
          <w:color w:val="000000"/>
          <w:sz w:val="20"/>
        </w:rPr>
      </w:pPr>
      <w:r>
        <w:rPr>
          <w:b/>
          <w:color w:val="000000"/>
          <w:sz w:val="20"/>
        </w:rPr>
      </w:r>
    </w:p>
    <w:p>
      <w:pPr>
        <w:pStyle w:val="TextBody"/>
        <w:bidi w:val="0"/>
        <w:spacing w:before="0" w:after="0"/>
        <w:jc w:val="center"/>
        <w:rPr>
          <w:rFonts w:ascii="Times New Roman" w:hAnsi="Times New Roman"/>
          <w:b/>
          <w:color w:val="000000"/>
          <w:sz w:val="20"/>
        </w:rPr>
      </w:pPr>
      <w:bookmarkStart w:id="45" w:name="cCBS"/>
      <w:bookmarkStart w:id="46" w:name="ConsolidatedBalanceSheets"/>
      <w:bookmarkEnd w:id="45"/>
      <w:bookmarkEnd w:id="46"/>
      <w:r>
        <w:rPr>
          <w:rFonts w:ascii="Times New Roman" w:hAnsi="Times New Roman"/>
          <w:b/>
          <w:color w:val="000000"/>
          <w:sz w:val="20"/>
        </w:rPr>
        <w:t>Consolidated Balance Sheet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center"/>
        <w:rPr>
          <w:b/>
          <w:color w:val="000000"/>
          <w:sz w:val="20"/>
        </w:rPr>
      </w:pPr>
      <w:r>
        <w:rPr>
          <w:b/>
          <w:color w:val="000000"/>
          <w:sz w:val="20"/>
        </w:rPr>
      </w:r>
    </w:p>
    <w:p>
      <w:pPr>
        <w:pStyle w:val="Normal"/>
        <w:bidi w:val="0"/>
        <w:spacing w:before="0" w:after="0"/>
        <w:jc w:val="left"/>
        <w:rPr>
          <w:sz w:val="4"/>
          <w:szCs w:val="4"/>
        </w:rPr>
      </w:pPr>
      <w:r>
        <w:rPr>
          <w:sz w:val="4"/>
          <w:szCs w:val="4"/>
        </w:rPr>
      </w:r>
      <w:bookmarkStart w:id="47" w:name="zb0e4362da4634a94b0b18d7ca94b784c"/>
      <w:bookmarkStart w:id="48" w:name="zb0e4362da4634a94b0b18d7ca94b784c"/>
      <w:bookmarkEnd w:id="48"/>
    </w:p>
    <w:tbl>
      <w:tblPr>
        <w:tblW w:w="10205" w:type="dxa"/>
        <w:jc w:val="center"/>
        <w:tblInd w:w="0" w:type="dxa"/>
        <w:tblLayout w:type="fixed"/>
        <w:tblCellMar>
          <w:top w:w="0" w:type="dxa"/>
          <w:left w:w="0" w:type="dxa"/>
          <w:bottom w:w="0" w:type="dxa"/>
          <w:right w:w="0" w:type="dxa"/>
        </w:tblCellMar>
      </w:tblPr>
      <w:tblGrid>
        <w:gridCol w:w="9042"/>
        <w:gridCol w:w="60"/>
        <w:gridCol w:w="142"/>
        <w:gridCol w:w="864"/>
        <w:gridCol w:w="97"/>
      </w:tblGrid>
      <w:tr>
        <w:trPr/>
        <w:tc>
          <w:tcPr>
            <w:tcW w:w="9042"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006"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December 31,</w:t>
            </w:r>
          </w:p>
          <w:p>
            <w:pPr>
              <w:pStyle w:val="TableContents"/>
              <w:bidi w:val="0"/>
              <w:spacing w:before="0" w:after="0"/>
              <w:jc w:val="center"/>
              <w:rPr>
                <w:b/>
                <w:sz w:val="20"/>
              </w:rPr>
            </w:pPr>
            <w:r>
              <w:rPr>
                <w:b/>
                <w:sz w:val="20"/>
              </w:rPr>
              <w:t>2025</w:t>
            </w:r>
          </w:p>
        </w:tc>
        <w:tc>
          <w:tcPr>
            <w:tcW w:w="97" w:type="dxa"/>
            <w:tcBorders/>
            <w:vAlign w:val="bottom"/>
          </w:tcPr>
          <w:p>
            <w:pPr>
              <w:pStyle w:val="TableContents"/>
              <w:bidi w:val="0"/>
              <w:spacing w:before="0" w:after="283"/>
              <w:jc w:val="left"/>
              <w:rPr/>
            </w:pPr>
            <w:r>
              <w:rPr/>
              <w:t> </w:t>
            </w:r>
          </w:p>
        </w:tc>
      </w:tr>
      <w:tr>
        <w:trPr/>
        <w:tc>
          <w:tcPr>
            <w:tcW w:w="9042" w:type="dxa"/>
            <w:tcBorders/>
            <w:shd w:fill="CCEEFF" w:val="clear"/>
            <w:vAlign w:val="bottom"/>
          </w:tcPr>
          <w:p>
            <w:pPr>
              <w:pStyle w:val="TableContents"/>
              <w:bidi w:val="0"/>
              <w:spacing w:before="0" w:after="0"/>
              <w:ind w:left="180" w:right="0" w:hanging="180"/>
              <w:jc w:val="left"/>
              <w:rPr>
                <w:b/>
                <w:color w:val="000000"/>
                <w:sz w:val="20"/>
              </w:rPr>
            </w:pPr>
            <w:r>
              <w:rPr>
                <w:b/>
                <w:color w:val="000000"/>
                <w:sz w:val="20"/>
              </w:rPr>
              <w:t>Assets</w:t>
            </w:r>
          </w:p>
        </w:tc>
        <w:tc>
          <w:tcPr>
            <w:tcW w:w="60" w:type="dxa"/>
            <w:tcBorders/>
            <w:shd w:fill="CCEEFF" w:val="clear"/>
            <w:vAlign w:val="bottom"/>
          </w:tcPr>
          <w:p>
            <w:pPr>
              <w:pStyle w:val="TableContents"/>
              <w:bidi w:val="0"/>
              <w:spacing w:before="0" w:after="283"/>
              <w:jc w:val="left"/>
              <w:rPr/>
            </w:pPr>
            <w:r>
              <w:rPr/>
              <w:t> </w:t>
            </w:r>
          </w:p>
        </w:tc>
        <w:tc>
          <w:tcPr>
            <w:tcW w:w="1006" w:type="dxa"/>
            <w:gridSpan w:val="2"/>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9042" w:type="dxa"/>
            <w:tcBorders/>
            <w:vAlign w:val="bottom"/>
          </w:tcPr>
          <w:p>
            <w:pPr>
              <w:pStyle w:val="TableContents"/>
              <w:bidi w:val="0"/>
              <w:spacing w:before="0" w:after="0"/>
              <w:ind w:left="180" w:right="0" w:hanging="180"/>
              <w:jc w:val="left"/>
              <w:rPr>
                <w:color w:val="000000"/>
                <w:sz w:val="20"/>
              </w:rPr>
            </w:pPr>
            <w:r>
              <w:rPr>
                <w:color w:val="000000"/>
                <w:sz w:val="20"/>
              </w:rPr>
              <w:t>Current assets:</w:t>
            </w:r>
          </w:p>
        </w:tc>
        <w:tc>
          <w:tcPr>
            <w:tcW w:w="60" w:type="dxa"/>
            <w:tcBorders/>
            <w:vAlign w:val="bottom"/>
          </w:tcPr>
          <w:p>
            <w:pPr>
              <w:pStyle w:val="TableContents"/>
              <w:bidi w:val="0"/>
              <w:spacing w:before="0" w:after="283"/>
              <w:jc w:val="left"/>
              <w:rPr/>
            </w:pPr>
            <w:r>
              <w:rPr/>
              <w:t> </w:t>
            </w:r>
          </w:p>
        </w:tc>
        <w:tc>
          <w:tcPr>
            <w:tcW w:w="1006" w:type="dxa"/>
            <w:gridSpan w:val="2"/>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r>
      <w:tr>
        <w:trPr/>
        <w:tc>
          <w:tcPr>
            <w:tcW w:w="9042"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color w:val="000000"/>
                <w:sz w:val="20"/>
              </w:rPr>
            </w:pPr>
            <w:r>
              <w:rPr>
                <w:color w:val="000000"/>
                <w:sz w:val="20"/>
              </w:rPr>
              <w:t>$</w:t>
            </w:r>
          </w:p>
        </w:tc>
        <w:tc>
          <w:tcPr>
            <w:tcW w:w="864" w:type="dxa"/>
            <w:tcBorders/>
            <w:shd w:fill="CCEEFF" w:val="clear"/>
            <w:vAlign w:val="bottom"/>
          </w:tcPr>
          <w:p>
            <w:pPr>
              <w:pStyle w:val="TableContents"/>
              <w:bidi w:val="0"/>
              <w:spacing w:before="0" w:after="0"/>
              <w:jc w:val="right"/>
              <w:rPr>
                <w:color w:val="000000"/>
                <w:sz w:val="20"/>
              </w:rPr>
            </w:pPr>
            <w:r>
              <w:rPr>
                <w:color w:val="000000"/>
                <w:sz w:val="20"/>
              </w:rPr>
              <w:t>12,122</w:t>
            </w:r>
          </w:p>
        </w:tc>
        <w:tc>
          <w:tcPr>
            <w:tcW w:w="97" w:type="dxa"/>
            <w:tcBorders/>
            <w:shd w:fill="CCEEFF" w:val="clear"/>
            <w:vAlign w:val="bottom"/>
          </w:tcPr>
          <w:p>
            <w:pPr>
              <w:pStyle w:val="TableContents"/>
              <w:bidi w:val="0"/>
              <w:spacing w:before="0" w:after="283"/>
              <w:jc w:val="left"/>
              <w:rPr/>
            </w:pPr>
            <w:r>
              <w:rPr/>
              <w:t> </w:t>
            </w:r>
          </w:p>
        </w:tc>
      </w:tr>
      <w:tr>
        <w:trPr/>
        <w:tc>
          <w:tcPr>
            <w:tcW w:w="9042" w:type="dxa"/>
            <w:tcBorders/>
            <w:vAlign w:val="bottom"/>
          </w:tcPr>
          <w:p>
            <w:pPr>
              <w:pStyle w:val="TableContents"/>
              <w:bidi w:val="0"/>
              <w:spacing w:before="0" w:after="0"/>
              <w:ind w:left="360" w:right="0" w:hanging="180"/>
              <w:jc w:val="left"/>
              <w:rPr>
                <w:color w:val="000000"/>
                <w:sz w:val="20"/>
              </w:rPr>
            </w:pPr>
            <w:r>
              <w:rPr>
                <w:color w:val="000000"/>
                <w:sz w:val="20"/>
              </w:rPr>
              <w:t>Short-term investments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right"/>
              <w:rPr>
                <w:color w:val="000000"/>
                <w:sz w:val="20"/>
              </w:rPr>
            </w:pPr>
            <w:r>
              <w:rPr>
                <w:color w:val="000000"/>
                <w:sz w:val="20"/>
              </w:rPr>
              <w:t>28,085</w:t>
            </w:r>
          </w:p>
        </w:tc>
        <w:tc>
          <w:tcPr>
            <w:tcW w:w="97" w:type="dxa"/>
            <w:tcBorders/>
            <w:vAlign w:val="bottom"/>
          </w:tcPr>
          <w:p>
            <w:pPr>
              <w:pStyle w:val="TableContents"/>
              <w:bidi w:val="0"/>
              <w:spacing w:before="0" w:after="283"/>
              <w:jc w:val="left"/>
              <w:rPr/>
            </w:pPr>
            <w:r>
              <w:rPr/>
              <w:t> </w:t>
            </w:r>
          </w:p>
        </w:tc>
      </w:tr>
      <w:tr>
        <w:trPr/>
        <w:tc>
          <w:tcPr>
            <w:tcW w:w="9042"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Prepaid expenses and other current assets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0"/>
              <w:jc w:val="right"/>
              <w:rPr>
                <w:color w:val="000000"/>
                <w:sz w:val="20"/>
              </w:rPr>
            </w:pPr>
            <w:r>
              <w:rPr>
                <w:color w:val="000000"/>
                <w:sz w:val="20"/>
              </w:rPr>
              <w:t>6,786</w:t>
            </w:r>
          </w:p>
        </w:tc>
        <w:tc>
          <w:tcPr>
            <w:tcW w:w="97" w:type="dxa"/>
            <w:tcBorders/>
            <w:shd w:fill="CCEEFF" w:val="clear"/>
            <w:vAlign w:val="bottom"/>
          </w:tcPr>
          <w:p>
            <w:pPr>
              <w:pStyle w:val="TableContents"/>
              <w:bidi w:val="0"/>
              <w:spacing w:before="0" w:after="283"/>
              <w:jc w:val="left"/>
              <w:rPr/>
            </w:pPr>
            <w:r>
              <w:rPr/>
              <w:t> </w:t>
            </w:r>
          </w:p>
        </w:tc>
      </w:tr>
      <w:tr>
        <w:trPr/>
        <w:tc>
          <w:tcPr>
            <w:tcW w:w="9042" w:type="dxa"/>
            <w:tcBorders/>
            <w:vAlign w:val="bottom"/>
          </w:tcPr>
          <w:p>
            <w:pPr>
              <w:pStyle w:val="TableContents"/>
              <w:bidi w:val="0"/>
              <w:spacing w:before="0" w:after="0"/>
              <w:ind w:left="360" w:right="0" w:hanging="180"/>
              <w:jc w:val="left"/>
              <w:rPr>
                <w:color w:val="000000"/>
                <w:sz w:val="20"/>
              </w:rPr>
            </w:pPr>
            <w:r>
              <w:rPr>
                <w:color w:val="000000"/>
                <w:sz w:val="20"/>
              </w:rPr>
              <w:t>Amounts due from related parties</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w:t>
            </w:r>
          </w:p>
        </w:tc>
        <w:tc>
          <w:tcPr>
            <w:tcW w:w="97" w:type="dxa"/>
            <w:tcBorders/>
            <w:vAlign w:val="bottom"/>
          </w:tcPr>
          <w:p>
            <w:pPr>
              <w:pStyle w:val="TableContents"/>
              <w:bidi w:val="0"/>
              <w:spacing w:before="0" w:after="283"/>
              <w:jc w:val="left"/>
              <w:rPr/>
            </w:pPr>
            <w:r>
              <w:rPr/>
              <w:t> </w:t>
            </w:r>
          </w:p>
        </w:tc>
      </w:tr>
      <w:tr>
        <w:trPr/>
        <w:tc>
          <w:tcPr>
            <w:tcW w:w="9042"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Total current assets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0"/>
              <w:jc w:val="right"/>
              <w:rPr>
                <w:color w:val="000000"/>
                <w:sz w:val="20"/>
              </w:rPr>
            </w:pPr>
            <w:r>
              <w:rPr>
                <w:color w:val="000000"/>
                <w:sz w:val="20"/>
              </w:rPr>
              <w:t>46,993</w:t>
            </w:r>
          </w:p>
        </w:tc>
        <w:tc>
          <w:tcPr>
            <w:tcW w:w="97" w:type="dxa"/>
            <w:tcBorders/>
            <w:shd w:fill="CCEEFF" w:val="clear"/>
            <w:vAlign w:val="bottom"/>
          </w:tcPr>
          <w:p>
            <w:pPr>
              <w:pStyle w:val="TableContents"/>
              <w:bidi w:val="0"/>
              <w:spacing w:before="0" w:after="283"/>
              <w:jc w:val="left"/>
              <w:rPr/>
            </w:pPr>
            <w:r>
              <w:rPr/>
              <w:t> </w:t>
            </w:r>
          </w:p>
        </w:tc>
      </w:tr>
      <w:tr>
        <w:trPr/>
        <w:tc>
          <w:tcPr>
            <w:tcW w:w="9042" w:type="dxa"/>
            <w:tcBorders/>
            <w:vAlign w:val="bottom"/>
          </w:tcPr>
          <w:p>
            <w:pPr>
              <w:pStyle w:val="TableContents"/>
              <w:bidi w:val="0"/>
              <w:spacing w:before="0" w:after="0"/>
              <w:ind w:left="180" w:right="0" w:hanging="180"/>
              <w:jc w:val="left"/>
              <w:rPr>
                <w:color w:val="000000"/>
                <w:sz w:val="20"/>
              </w:rPr>
            </w:pPr>
            <w:r>
              <w:rPr>
                <w:color w:val="000000"/>
                <w:sz w:val="20"/>
              </w:rPr>
              <w:t>Non-current assets: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9042"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Property and equipment, net</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0"/>
              <w:jc w:val="right"/>
              <w:rPr>
                <w:color w:val="000000"/>
                <w:sz w:val="20"/>
              </w:rPr>
            </w:pPr>
            <w:r>
              <w:rPr>
                <w:color w:val="000000"/>
                <w:sz w:val="20"/>
              </w:rPr>
              <w:t>3,951</w:t>
            </w:r>
          </w:p>
        </w:tc>
        <w:tc>
          <w:tcPr>
            <w:tcW w:w="97" w:type="dxa"/>
            <w:tcBorders/>
            <w:shd w:fill="CCEEFF" w:val="clear"/>
            <w:vAlign w:val="bottom"/>
          </w:tcPr>
          <w:p>
            <w:pPr>
              <w:pStyle w:val="TableContents"/>
              <w:bidi w:val="0"/>
              <w:spacing w:before="0" w:after="283"/>
              <w:jc w:val="left"/>
              <w:rPr/>
            </w:pPr>
            <w:r>
              <w:rPr/>
              <w:t> </w:t>
            </w:r>
          </w:p>
        </w:tc>
      </w:tr>
      <w:tr>
        <w:trPr/>
        <w:tc>
          <w:tcPr>
            <w:tcW w:w="9042" w:type="dxa"/>
            <w:tcBorders/>
            <w:vAlign w:val="bottom"/>
          </w:tcPr>
          <w:p>
            <w:pPr>
              <w:pStyle w:val="TableContents"/>
              <w:bidi w:val="0"/>
              <w:spacing w:before="0" w:after="0"/>
              <w:ind w:left="360" w:right="0" w:hanging="180"/>
              <w:jc w:val="left"/>
              <w:rPr>
                <w:color w:val="000000"/>
                <w:sz w:val="20"/>
              </w:rPr>
            </w:pPr>
            <w:r>
              <w:rPr>
                <w:color w:val="000000"/>
                <w:sz w:val="20"/>
              </w:rPr>
              <w:t>Operating lease right-of-use assets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right"/>
              <w:rPr>
                <w:color w:val="000000"/>
                <w:sz w:val="20"/>
              </w:rPr>
            </w:pPr>
            <w:r>
              <w:rPr>
                <w:color w:val="000000"/>
                <w:sz w:val="20"/>
              </w:rPr>
              <w:t>2,478</w:t>
            </w:r>
          </w:p>
        </w:tc>
        <w:tc>
          <w:tcPr>
            <w:tcW w:w="97" w:type="dxa"/>
            <w:tcBorders/>
            <w:vAlign w:val="bottom"/>
          </w:tcPr>
          <w:p>
            <w:pPr>
              <w:pStyle w:val="TableContents"/>
              <w:bidi w:val="0"/>
              <w:spacing w:before="0" w:after="283"/>
              <w:jc w:val="left"/>
              <w:rPr/>
            </w:pPr>
            <w:r>
              <w:rPr/>
              <w:t> </w:t>
            </w:r>
          </w:p>
        </w:tc>
      </w:tr>
      <w:tr>
        <w:trPr/>
        <w:tc>
          <w:tcPr>
            <w:tcW w:w="9042"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Other non-current assets</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209</w:t>
            </w:r>
          </w:p>
        </w:tc>
        <w:tc>
          <w:tcPr>
            <w:tcW w:w="97" w:type="dxa"/>
            <w:tcBorders/>
            <w:shd w:fill="CCEEFF" w:val="clear"/>
            <w:vAlign w:val="bottom"/>
          </w:tcPr>
          <w:p>
            <w:pPr>
              <w:pStyle w:val="TableContents"/>
              <w:bidi w:val="0"/>
              <w:spacing w:before="0" w:after="283"/>
              <w:jc w:val="left"/>
              <w:rPr/>
            </w:pPr>
            <w:r>
              <w:rPr/>
              <w:t> </w:t>
            </w:r>
          </w:p>
        </w:tc>
      </w:tr>
      <w:tr>
        <w:trPr/>
        <w:tc>
          <w:tcPr>
            <w:tcW w:w="9042" w:type="dxa"/>
            <w:tcBorders/>
            <w:vAlign w:val="bottom"/>
          </w:tcPr>
          <w:p>
            <w:pPr>
              <w:pStyle w:val="TableContents"/>
              <w:bidi w:val="0"/>
              <w:spacing w:before="0" w:after="0"/>
              <w:ind w:left="180" w:right="0" w:hanging="180"/>
              <w:jc w:val="left"/>
              <w:rPr>
                <w:color w:val="000000"/>
                <w:sz w:val="20"/>
              </w:rPr>
            </w:pPr>
            <w:r>
              <w:rPr>
                <w:color w:val="000000"/>
                <w:sz w:val="20"/>
              </w:rPr>
              <w:t>Total non-current assets</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6,638</w:t>
            </w:r>
          </w:p>
        </w:tc>
        <w:tc>
          <w:tcPr>
            <w:tcW w:w="97" w:type="dxa"/>
            <w:tcBorders/>
            <w:vAlign w:val="bottom"/>
          </w:tcPr>
          <w:p>
            <w:pPr>
              <w:pStyle w:val="TableContents"/>
              <w:bidi w:val="0"/>
              <w:spacing w:before="0" w:after="283"/>
              <w:jc w:val="left"/>
              <w:rPr/>
            </w:pPr>
            <w:r>
              <w:rPr/>
              <w:t> </w:t>
            </w:r>
          </w:p>
        </w:tc>
      </w:tr>
      <w:tr>
        <w:trPr/>
        <w:tc>
          <w:tcPr>
            <w:tcW w:w="9042"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Total assets</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0"/>
              <w:jc w:val="left"/>
              <w:rPr>
                <w:color w:val="000000"/>
                <w:sz w:val="20"/>
              </w:rPr>
            </w:pPr>
            <w:r>
              <w:rPr>
                <w:color w:val="000000"/>
                <w:sz w:val="20"/>
              </w:rPr>
              <w:t>$</w:t>
            </w:r>
          </w:p>
        </w:tc>
        <w:tc>
          <w:tcPr>
            <w:tcW w:w="864" w:type="dxa"/>
            <w:tcBorders>
              <w:bottom w:val="double" w:sz="8"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53,631</w:t>
            </w:r>
          </w:p>
        </w:tc>
        <w:tc>
          <w:tcPr>
            <w:tcW w:w="97" w:type="dxa"/>
            <w:tcBorders/>
            <w:shd w:fill="CCEEFF" w:val="clear"/>
            <w:vAlign w:val="bottom"/>
          </w:tcPr>
          <w:p>
            <w:pPr>
              <w:pStyle w:val="TableContents"/>
              <w:bidi w:val="0"/>
              <w:spacing w:before="0" w:after="283"/>
              <w:jc w:val="left"/>
              <w:rPr/>
            </w:pPr>
            <w:r>
              <w:rPr/>
              <w:t> </w:t>
            </w:r>
          </w:p>
        </w:tc>
      </w:tr>
      <w:tr>
        <w:trPr/>
        <w:tc>
          <w:tcPr>
            <w:tcW w:w="9042"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9042" w:type="dxa"/>
            <w:tcBorders/>
            <w:shd w:fill="CCEEFF" w:val="clear"/>
            <w:vAlign w:val="bottom"/>
          </w:tcPr>
          <w:p>
            <w:pPr>
              <w:pStyle w:val="TableContents"/>
              <w:bidi w:val="0"/>
              <w:spacing w:before="0" w:after="0"/>
              <w:ind w:left="180" w:right="0" w:hanging="180"/>
              <w:jc w:val="left"/>
              <w:rPr>
                <w:b/>
                <w:color w:val="000000"/>
                <w:sz w:val="20"/>
              </w:rPr>
            </w:pPr>
            <w:r>
              <w:rPr>
                <w:b/>
                <w:color w:val="000000"/>
                <w:sz w:val="20"/>
              </w:rPr>
              <w:t>Liabilities, redeemable convertible preferred stock, and stockholders’ deficit</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9042" w:type="dxa"/>
            <w:tcBorders/>
            <w:vAlign w:val="bottom"/>
          </w:tcPr>
          <w:p>
            <w:pPr>
              <w:pStyle w:val="TableContents"/>
              <w:bidi w:val="0"/>
              <w:spacing w:before="0" w:after="0"/>
              <w:ind w:left="180" w:right="0" w:hanging="180"/>
              <w:jc w:val="left"/>
              <w:rPr>
                <w:color w:val="000000"/>
                <w:sz w:val="20"/>
              </w:rPr>
            </w:pPr>
            <w:r>
              <w:rPr>
                <w:color w:val="000000"/>
                <w:sz w:val="20"/>
              </w:rPr>
              <w:t>Current liabilities: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9042"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Accounts payable</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color w:val="000000"/>
                <w:sz w:val="20"/>
              </w:rPr>
            </w:pPr>
            <w:r>
              <w:rPr>
                <w:color w:val="000000"/>
                <w:sz w:val="20"/>
              </w:rPr>
              <w:t>$</w:t>
            </w:r>
          </w:p>
        </w:tc>
        <w:tc>
          <w:tcPr>
            <w:tcW w:w="864" w:type="dxa"/>
            <w:tcBorders/>
            <w:shd w:fill="CCEEFF" w:val="clear"/>
            <w:vAlign w:val="bottom"/>
          </w:tcPr>
          <w:p>
            <w:pPr>
              <w:pStyle w:val="TableContents"/>
              <w:bidi w:val="0"/>
              <w:spacing w:before="0" w:after="0"/>
              <w:jc w:val="right"/>
              <w:rPr>
                <w:color w:val="000000"/>
                <w:sz w:val="20"/>
              </w:rPr>
            </w:pPr>
            <w:r>
              <w:rPr>
                <w:color w:val="000000"/>
                <w:sz w:val="20"/>
              </w:rPr>
              <w:t>1,211</w:t>
            </w:r>
          </w:p>
        </w:tc>
        <w:tc>
          <w:tcPr>
            <w:tcW w:w="97" w:type="dxa"/>
            <w:tcBorders/>
            <w:shd w:fill="CCEEFF" w:val="clear"/>
            <w:vAlign w:val="bottom"/>
          </w:tcPr>
          <w:p>
            <w:pPr>
              <w:pStyle w:val="TableContents"/>
              <w:bidi w:val="0"/>
              <w:spacing w:before="0" w:after="283"/>
              <w:jc w:val="left"/>
              <w:rPr/>
            </w:pPr>
            <w:r>
              <w:rPr/>
              <w:t> </w:t>
            </w:r>
          </w:p>
        </w:tc>
      </w:tr>
      <w:tr>
        <w:trPr/>
        <w:tc>
          <w:tcPr>
            <w:tcW w:w="9042" w:type="dxa"/>
            <w:tcBorders/>
            <w:vAlign w:val="bottom"/>
          </w:tcPr>
          <w:p>
            <w:pPr>
              <w:pStyle w:val="TableContents"/>
              <w:bidi w:val="0"/>
              <w:spacing w:before="0" w:after="0"/>
              <w:ind w:left="360" w:right="0" w:hanging="180"/>
              <w:jc w:val="left"/>
              <w:rPr>
                <w:color w:val="000000"/>
                <w:sz w:val="20"/>
              </w:rPr>
            </w:pPr>
            <w:r>
              <w:rPr>
                <w:color w:val="000000"/>
                <w:sz w:val="20"/>
              </w:rPr>
              <w:t>Accrued expenses and other current liabilities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right"/>
              <w:rPr>
                <w:color w:val="000000"/>
                <w:sz w:val="20"/>
              </w:rPr>
            </w:pPr>
            <w:r>
              <w:rPr>
                <w:color w:val="000000"/>
                <w:sz w:val="20"/>
              </w:rPr>
              <w:t>2,633</w:t>
            </w:r>
          </w:p>
        </w:tc>
        <w:tc>
          <w:tcPr>
            <w:tcW w:w="97" w:type="dxa"/>
            <w:tcBorders/>
            <w:vAlign w:val="bottom"/>
          </w:tcPr>
          <w:p>
            <w:pPr>
              <w:pStyle w:val="TableContents"/>
              <w:bidi w:val="0"/>
              <w:spacing w:before="0" w:after="283"/>
              <w:jc w:val="left"/>
              <w:rPr/>
            </w:pPr>
            <w:r>
              <w:rPr/>
              <w:t> </w:t>
            </w:r>
          </w:p>
        </w:tc>
      </w:tr>
      <w:tr>
        <w:trPr/>
        <w:tc>
          <w:tcPr>
            <w:tcW w:w="9042"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Operating lease liabilities, current</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0"/>
              <w:jc w:val="right"/>
              <w:rPr>
                <w:color w:val="000000"/>
                <w:sz w:val="20"/>
              </w:rPr>
            </w:pPr>
            <w:r>
              <w:rPr>
                <w:color w:val="000000"/>
                <w:sz w:val="20"/>
              </w:rPr>
              <w:t>483</w:t>
            </w:r>
          </w:p>
        </w:tc>
        <w:tc>
          <w:tcPr>
            <w:tcW w:w="97" w:type="dxa"/>
            <w:tcBorders/>
            <w:shd w:fill="CCEEFF" w:val="clear"/>
            <w:vAlign w:val="bottom"/>
          </w:tcPr>
          <w:p>
            <w:pPr>
              <w:pStyle w:val="TableContents"/>
              <w:bidi w:val="0"/>
              <w:spacing w:before="0" w:after="283"/>
              <w:jc w:val="left"/>
              <w:rPr/>
            </w:pPr>
            <w:r>
              <w:rPr/>
              <w:t> </w:t>
            </w:r>
          </w:p>
        </w:tc>
      </w:tr>
      <w:tr>
        <w:trPr/>
        <w:tc>
          <w:tcPr>
            <w:tcW w:w="9042" w:type="dxa"/>
            <w:tcBorders/>
            <w:vAlign w:val="bottom"/>
          </w:tcPr>
          <w:p>
            <w:pPr>
              <w:pStyle w:val="TableContents"/>
              <w:bidi w:val="0"/>
              <w:spacing w:before="0" w:after="0"/>
              <w:ind w:left="360" w:right="0" w:hanging="180"/>
              <w:jc w:val="left"/>
              <w:rPr>
                <w:color w:val="000000"/>
                <w:sz w:val="20"/>
              </w:rPr>
            </w:pPr>
            <w:r>
              <w:rPr>
                <w:color w:val="000000"/>
                <w:sz w:val="20"/>
              </w:rPr>
              <w:t>Deferred revenue, current</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1,170</w:t>
            </w:r>
          </w:p>
        </w:tc>
        <w:tc>
          <w:tcPr>
            <w:tcW w:w="97" w:type="dxa"/>
            <w:tcBorders/>
            <w:vAlign w:val="bottom"/>
          </w:tcPr>
          <w:p>
            <w:pPr>
              <w:pStyle w:val="TableContents"/>
              <w:bidi w:val="0"/>
              <w:spacing w:before="0" w:after="283"/>
              <w:jc w:val="left"/>
              <w:rPr/>
            </w:pPr>
            <w:r>
              <w:rPr/>
              <w:t> </w:t>
            </w:r>
          </w:p>
        </w:tc>
      </w:tr>
      <w:tr>
        <w:trPr/>
        <w:tc>
          <w:tcPr>
            <w:tcW w:w="9042"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Total current liabilities</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5,497</w:t>
            </w:r>
          </w:p>
        </w:tc>
        <w:tc>
          <w:tcPr>
            <w:tcW w:w="97" w:type="dxa"/>
            <w:tcBorders/>
            <w:shd w:fill="CCEEFF" w:val="clear"/>
            <w:vAlign w:val="bottom"/>
          </w:tcPr>
          <w:p>
            <w:pPr>
              <w:pStyle w:val="TableContents"/>
              <w:bidi w:val="0"/>
              <w:spacing w:before="0" w:after="283"/>
              <w:jc w:val="left"/>
              <w:rPr/>
            </w:pPr>
            <w:r>
              <w:rPr/>
              <w:t> </w:t>
            </w:r>
          </w:p>
        </w:tc>
      </w:tr>
      <w:tr>
        <w:trPr/>
        <w:tc>
          <w:tcPr>
            <w:tcW w:w="9042" w:type="dxa"/>
            <w:tcBorders/>
            <w:vAlign w:val="bottom"/>
          </w:tcPr>
          <w:p>
            <w:pPr>
              <w:pStyle w:val="TableContents"/>
              <w:bidi w:val="0"/>
              <w:spacing w:before="0" w:after="0"/>
              <w:ind w:left="180" w:right="0" w:hanging="180"/>
              <w:jc w:val="left"/>
              <w:rPr>
                <w:color w:val="000000"/>
                <w:sz w:val="20"/>
              </w:rPr>
            </w:pPr>
            <w:r>
              <w:rPr>
                <w:color w:val="000000"/>
                <w:sz w:val="20"/>
              </w:rPr>
              <w:t>Non-current liabilities: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9042"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Operating lease liabilities, non-current</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0"/>
              <w:jc w:val="right"/>
              <w:rPr>
                <w:color w:val="000000"/>
                <w:sz w:val="20"/>
              </w:rPr>
            </w:pPr>
            <w:r>
              <w:rPr>
                <w:color w:val="000000"/>
                <w:sz w:val="20"/>
              </w:rPr>
              <w:t>2,001</w:t>
            </w:r>
          </w:p>
        </w:tc>
        <w:tc>
          <w:tcPr>
            <w:tcW w:w="97" w:type="dxa"/>
            <w:tcBorders/>
            <w:shd w:fill="CCEEFF" w:val="clear"/>
            <w:vAlign w:val="bottom"/>
          </w:tcPr>
          <w:p>
            <w:pPr>
              <w:pStyle w:val="TableContents"/>
              <w:bidi w:val="0"/>
              <w:spacing w:before="0" w:after="283"/>
              <w:jc w:val="left"/>
              <w:rPr/>
            </w:pPr>
            <w:r>
              <w:rPr/>
              <w:t> </w:t>
            </w:r>
          </w:p>
        </w:tc>
      </w:tr>
      <w:tr>
        <w:trPr/>
        <w:tc>
          <w:tcPr>
            <w:tcW w:w="9042" w:type="dxa"/>
            <w:tcBorders/>
            <w:vAlign w:val="bottom"/>
          </w:tcPr>
          <w:p>
            <w:pPr>
              <w:pStyle w:val="TableContents"/>
              <w:bidi w:val="0"/>
              <w:spacing w:before="0" w:after="0"/>
              <w:ind w:left="360" w:right="0" w:hanging="180"/>
              <w:jc w:val="left"/>
              <w:rPr>
                <w:color w:val="000000"/>
                <w:sz w:val="20"/>
              </w:rPr>
            </w:pPr>
            <w:r>
              <w:rPr>
                <w:color w:val="000000"/>
                <w:sz w:val="20"/>
              </w:rPr>
              <w:t>Deferred revenue, non-current</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57</w:t>
            </w:r>
          </w:p>
        </w:tc>
        <w:tc>
          <w:tcPr>
            <w:tcW w:w="97" w:type="dxa"/>
            <w:tcBorders/>
            <w:vAlign w:val="bottom"/>
          </w:tcPr>
          <w:p>
            <w:pPr>
              <w:pStyle w:val="TableContents"/>
              <w:bidi w:val="0"/>
              <w:spacing w:before="0" w:after="283"/>
              <w:jc w:val="left"/>
              <w:rPr/>
            </w:pPr>
            <w:r>
              <w:rPr/>
              <w:t> </w:t>
            </w:r>
          </w:p>
        </w:tc>
      </w:tr>
      <w:tr>
        <w:trPr/>
        <w:tc>
          <w:tcPr>
            <w:tcW w:w="9042"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Total non-current liabilities</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2,058</w:t>
            </w:r>
          </w:p>
        </w:tc>
        <w:tc>
          <w:tcPr>
            <w:tcW w:w="97" w:type="dxa"/>
            <w:tcBorders/>
            <w:shd w:fill="CCEEFF" w:val="clear"/>
            <w:vAlign w:val="bottom"/>
          </w:tcPr>
          <w:p>
            <w:pPr>
              <w:pStyle w:val="TableContents"/>
              <w:bidi w:val="0"/>
              <w:spacing w:before="0" w:after="283"/>
              <w:jc w:val="left"/>
              <w:rPr/>
            </w:pPr>
            <w:r>
              <w:rPr/>
              <w:t> </w:t>
            </w:r>
          </w:p>
        </w:tc>
      </w:tr>
      <w:tr>
        <w:trPr/>
        <w:tc>
          <w:tcPr>
            <w:tcW w:w="9042" w:type="dxa"/>
            <w:tcBorders/>
            <w:vAlign w:val="bottom"/>
          </w:tcPr>
          <w:p>
            <w:pPr>
              <w:pStyle w:val="TableContents"/>
              <w:bidi w:val="0"/>
              <w:spacing w:before="0" w:after="0"/>
              <w:ind w:left="180" w:right="0" w:hanging="180"/>
              <w:jc w:val="left"/>
              <w:rPr>
                <w:color w:val="000000"/>
                <w:sz w:val="20"/>
              </w:rPr>
            </w:pPr>
            <w:r>
              <w:rPr>
                <w:color w:val="000000"/>
                <w:sz w:val="20"/>
              </w:rPr>
              <w:t>Total liabilities</w:t>
            </w:r>
          </w:p>
        </w:tc>
        <w:tc>
          <w:tcPr>
            <w:tcW w:w="60" w:type="dxa"/>
            <w:tcBorders/>
            <w:vAlign w:val="bottom"/>
          </w:tcPr>
          <w:p>
            <w:pPr>
              <w:pStyle w:val="TableContents"/>
              <w:bidi w:val="0"/>
              <w:spacing w:before="0" w:after="283"/>
              <w:jc w:val="right"/>
              <w:rPr/>
            </w:pPr>
            <w:r>
              <w:rPr/>
              <w:t> </w:t>
            </w:r>
          </w:p>
        </w:tc>
        <w:tc>
          <w:tcPr>
            <w:tcW w:w="142" w:type="dxa"/>
            <w:tcBorders>
              <w:bottom w:val="double" w:sz="8" w:space="0" w:color="000000"/>
            </w:tcBorders>
            <w:tcMar>
              <w:bottom w:w="28" w:type="dxa"/>
            </w:tcMar>
            <w:vAlign w:val="bottom"/>
          </w:tcPr>
          <w:p>
            <w:pPr>
              <w:pStyle w:val="TableContents"/>
              <w:bidi w:val="0"/>
              <w:spacing w:before="0" w:after="283"/>
              <w:jc w:val="left"/>
              <w:rPr/>
            </w:pPr>
            <w:r>
              <w:rPr/>
              <w:t> </w:t>
            </w:r>
          </w:p>
        </w:tc>
        <w:tc>
          <w:tcPr>
            <w:tcW w:w="864"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7,555</w:t>
            </w:r>
          </w:p>
        </w:tc>
        <w:tc>
          <w:tcPr>
            <w:tcW w:w="97" w:type="dxa"/>
            <w:tcBorders/>
            <w:vAlign w:val="bottom"/>
          </w:tcPr>
          <w:p>
            <w:pPr>
              <w:pStyle w:val="TableContents"/>
              <w:bidi w:val="0"/>
              <w:spacing w:before="0" w:after="283"/>
              <w:jc w:val="left"/>
              <w:rPr/>
            </w:pPr>
            <w:r>
              <w:rPr/>
              <w:t> </w:t>
            </w:r>
          </w:p>
        </w:tc>
      </w:tr>
      <w:tr>
        <w:trPr/>
        <w:tc>
          <w:tcPr>
            <w:tcW w:w="9042"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Commitments and contingencies (Note 15)</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9042" w:type="dxa"/>
            <w:tcBorders/>
            <w:vAlign w:val="bottom"/>
          </w:tcPr>
          <w:p>
            <w:pPr>
              <w:pStyle w:val="TableContents"/>
              <w:bidi w:val="0"/>
              <w:spacing w:before="0" w:after="0"/>
              <w:ind w:left="180" w:right="0" w:hanging="180"/>
              <w:jc w:val="left"/>
              <w:rPr>
                <w:color w:val="000000"/>
                <w:sz w:val="20"/>
              </w:rPr>
            </w:pPr>
            <w:r>
              <w:rPr>
                <w:color w:val="000000"/>
                <w:sz w:val="20"/>
              </w:rPr>
              <w:t>Redeemable convertible preferred stock, $0.0001 par value per share, 57,821,355 shares authorized, 57,821,355 shares issued and outstanding as of December 31, 2025; aggregate liquidation preference of $116,000 as of December 31, 2025.</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173,467</w:t>
            </w:r>
          </w:p>
        </w:tc>
        <w:tc>
          <w:tcPr>
            <w:tcW w:w="97" w:type="dxa"/>
            <w:tcBorders/>
            <w:vAlign w:val="bottom"/>
          </w:tcPr>
          <w:p>
            <w:pPr>
              <w:pStyle w:val="TableContents"/>
              <w:bidi w:val="0"/>
              <w:spacing w:before="0" w:after="283"/>
              <w:jc w:val="left"/>
              <w:rPr/>
            </w:pPr>
            <w:r>
              <w:rPr/>
              <w:t> </w:t>
            </w:r>
          </w:p>
        </w:tc>
      </w:tr>
      <w:tr>
        <w:trPr/>
        <w:tc>
          <w:tcPr>
            <w:tcW w:w="9042"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Stockholders’ deficit:</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9042" w:type="dxa"/>
            <w:tcBorders/>
            <w:vAlign w:val="bottom"/>
          </w:tcPr>
          <w:p>
            <w:pPr>
              <w:pStyle w:val="TableContents"/>
              <w:bidi w:val="0"/>
              <w:spacing w:before="0" w:after="0"/>
              <w:ind w:left="180" w:right="0" w:hanging="180"/>
              <w:jc w:val="left"/>
              <w:rPr>
                <w:color w:val="000000"/>
                <w:sz w:val="20"/>
              </w:rPr>
            </w:pPr>
            <w:r>
              <w:rPr>
                <w:color w:val="000000"/>
                <w:sz w:val="20"/>
              </w:rPr>
              <w:t>Common stock, $0.0001 par value per share, 143,329,269 shares authorized, 10,023,615 shares issued and outstanding as of December 31, 2025</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right"/>
              <w:rPr>
                <w:color w:val="000000"/>
                <w:sz w:val="20"/>
              </w:rPr>
            </w:pPr>
            <w:r>
              <w:rPr>
                <w:color w:val="000000"/>
                <w:sz w:val="20"/>
              </w:rPr>
              <w:t>1</w:t>
            </w:r>
          </w:p>
        </w:tc>
        <w:tc>
          <w:tcPr>
            <w:tcW w:w="97" w:type="dxa"/>
            <w:tcBorders/>
            <w:vAlign w:val="bottom"/>
          </w:tcPr>
          <w:p>
            <w:pPr>
              <w:pStyle w:val="TableContents"/>
              <w:bidi w:val="0"/>
              <w:spacing w:before="0" w:after="283"/>
              <w:jc w:val="left"/>
              <w:rPr/>
            </w:pPr>
            <w:r>
              <w:rPr/>
              <w:t> </w:t>
            </w:r>
          </w:p>
        </w:tc>
      </w:tr>
      <w:tr>
        <w:trPr/>
        <w:tc>
          <w:tcPr>
            <w:tcW w:w="9042"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Additional paid-in capital</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0"/>
              <w:jc w:val="right"/>
              <w:rPr>
                <w:color w:val="000000"/>
                <w:sz w:val="20"/>
              </w:rPr>
            </w:pPr>
            <w:r>
              <w:rPr>
                <w:color w:val="000000"/>
                <w:sz w:val="20"/>
              </w:rPr>
              <w:t>5,127</w:t>
            </w:r>
          </w:p>
        </w:tc>
        <w:tc>
          <w:tcPr>
            <w:tcW w:w="97" w:type="dxa"/>
            <w:tcBorders/>
            <w:shd w:fill="CCEEFF" w:val="clear"/>
            <w:vAlign w:val="bottom"/>
          </w:tcPr>
          <w:p>
            <w:pPr>
              <w:pStyle w:val="TableContents"/>
              <w:bidi w:val="0"/>
              <w:spacing w:before="0" w:after="283"/>
              <w:jc w:val="left"/>
              <w:rPr/>
            </w:pPr>
            <w:r>
              <w:rPr/>
              <w:t> </w:t>
            </w:r>
          </w:p>
        </w:tc>
      </w:tr>
      <w:tr>
        <w:trPr/>
        <w:tc>
          <w:tcPr>
            <w:tcW w:w="9042" w:type="dxa"/>
            <w:tcBorders/>
            <w:vAlign w:val="bottom"/>
          </w:tcPr>
          <w:p>
            <w:pPr>
              <w:pStyle w:val="TableContents"/>
              <w:bidi w:val="0"/>
              <w:spacing w:before="0" w:after="0"/>
              <w:ind w:left="360" w:right="0" w:hanging="180"/>
              <w:jc w:val="left"/>
              <w:rPr>
                <w:color w:val="000000"/>
                <w:sz w:val="20"/>
              </w:rPr>
            </w:pPr>
            <w:r>
              <w:rPr>
                <w:color w:val="000000"/>
                <w:sz w:val="20"/>
              </w:rPr>
              <w:t>Accumulated deficit</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right"/>
              <w:rPr>
                <w:color w:val="000000"/>
                <w:sz w:val="20"/>
              </w:rPr>
            </w:pPr>
            <w:r>
              <w:rPr>
                <w:color w:val="000000"/>
                <w:sz w:val="20"/>
              </w:rPr>
              <w:t>(132,179</w:t>
            </w:r>
          </w:p>
        </w:tc>
        <w:tc>
          <w:tcPr>
            <w:tcW w:w="97" w:type="dxa"/>
            <w:tcBorders/>
            <w:vAlign w:val="bottom"/>
          </w:tcPr>
          <w:p>
            <w:pPr>
              <w:pStyle w:val="TableContents"/>
              <w:bidi w:val="0"/>
              <w:spacing w:before="0" w:after="0"/>
              <w:jc w:val="left"/>
              <w:rPr>
                <w:color w:val="000000"/>
                <w:sz w:val="20"/>
              </w:rPr>
            </w:pPr>
            <w:r>
              <w:rPr>
                <w:color w:val="000000"/>
                <w:sz w:val="20"/>
              </w:rPr>
              <w:t>)</w:t>
            </w:r>
          </w:p>
        </w:tc>
      </w:tr>
      <w:tr>
        <w:trPr/>
        <w:tc>
          <w:tcPr>
            <w:tcW w:w="9042"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Accumulated other comprehensive loss</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(340</w:t>
            </w:r>
          </w:p>
        </w:tc>
        <w:tc>
          <w:tcPr>
            <w:tcW w:w="97" w:type="dxa"/>
            <w:tcBorders/>
            <w:shd w:fill="CCEEFF" w:val="clear"/>
            <w:vAlign w:val="bottom"/>
          </w:tcPr>
          <w:p>
            <w:pPr>
              <w:pStyle w:val="TableContents"/>
              <w:bidi w:val="0"/>
              <w:spacing w:before="0" w:after="0"/>
              <w:jc w:val="left"/>
              <w:rPr>
                <w:color w:val="000000"/>
                <w:sz w:val="20"/>
              </w:rPr>
            </w:pPr>
            <w:r>
              <w:rPr>
                <w:color w:val="000000"/>
                <w:sz w:val="20"/>
              </w:rPr>
              <w:t>)</w:t>
            </w:r>
          </w:p>
        </w:tc>
      </w:tr>
      <w:tr>
        <w:trPr/>
        <w:tc>
          <w:tcPr>
            <w:tcW w:w="9042" w:type="dxa"/>
            <w:tcBorders/>
            <w:vAlign w:val="bottom"/>
          </w:tcPr>
          <w:p>
            <w:pPr>
              <w:pStyle w:val="TableContents"/>
              <w:bidi w:val="0"/>
              <w:spacing w:before="0" w:after="0"/>
              <w:jc w:val="left"/>
              <w:rPr>
                <w:color w:val="000000"/>
                <w:sz w:val="20"/>
              </w:rPr>
            </w:pPr>
            <w:r>
              <w:rPr>
                <w:color w:val="000000"/>
                <w:sz w:val="20"/>
              </w:rPr>
              <w:t>Total stockholders’ deficit</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(127,391</w:t>
            </w:r>
          </w:p>
        </w:tc>
        <w:tc>
          <w:tcPr>
            <w:tcW w:w="97" w:type="dxa"/>
            <w:tcBorders/>
            <w:vAlign w:val="bottom"/>
          </w:tcPr>
          <w:p>
            <w:pPr>
              <w:pStyle w:val="TableContents"/>
              <w:bidi w:val="0"/>
              <w:spacing w:before="0" w:after="0"/>
              <w:jc w:val="left"/>
              <w:rPr>
                <w:color w:val="000000"/>
                <w:sz w:val="20"/>
              </w:rPr>
            </w:pPr>
            <w:r>
              <w:rPr>
                <w:color w:val="000000"/>
                <w:sz w:val="20"/>
              </w:rPr>
              <w:t>)</w:t>
            </w:r>
          </w:p>
        </w:tc>
      </w:tr>
      <w:tr>
        <w:trPr/>
        <w:tc>
          <w:tcPr>
            <w:tcW w:w="9042"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Total liabilities, redeemable convertible preferred stock, and stockholders’ deficit</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0"/>
              <w:jc w:val="left"/>
              <w:rPr>
                <w:color w:val="000000"/>
                <w:sz w:val="20"/>
              </w:rPr>
            </w:pPr>
            <w:r>
              <w:rPr>
                <w:color w:val="000000"/>
                <w:sz w:val="20"/>
              </w:rPr>
              <w:t>$</w:t>
            </w:r>
          </w:p>
        </w:tc>
        <w:tc>
          <w:tcPr>
            <w:tcW w:w="864" w:type="dxa"/>
            <w:tcBorders>
              <w:bottom w:val="double" w:sz="8"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53,631</w:t>
            </w:r>
          </w:p>
        </w:tc>
        <w:tc>
          <w:tcPr>
            <w:tcW w:w="97"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b/>
          <w:color w:val="000000"/>
          <w:sz w:val="20"/>
        </w:rPr>
      </w:pPr>
      <w:r>
        <w:rPr>
          <w:b/>
          <w:color w:val="000000"/>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The accompanying footnotes are an integral part of these consolidated financial statements.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b/>
          <w:color w:val="000000"/>
          <w:sz w:val="20"/>
        </w:rPr>
      </w:pPr>
      <w:r>
        <w:rPr>
          <w:b/>
          <w:color w:val="000000"/>
          <w:sz w:val="20"/>
        </w:rPr>
      </w:r>
    </w:p>
    <w:p>
      <w:pPr>
        <w:pStyle w:val="TextBody"/>
        <w:bidi w:val="0"/>
        <w:spacing w:before="0" w:after="0"/>
        <w:jc w:val="center"/>
        <w:rPr>
          <w:rFonts w:ascii="Times New Roman" w:hAnsi="Times New Roman"/>
          <w:b/>
          <w:color w:val="000000"/>
          <w:sz w:val="20"/>
        </w:rPr>
      </w:pPr>
      <w:bookmarkStart w:id="49" w:name="cCSO"/>
      <w:bookmarkStart w:id="50" w:name="ConsolidatedStatementsofC"/>
      <w:bookmarkEnd w:id="49"/>
      <w:bookmarkEnd w:id="50"/>
      <w:r>
        <w:rPr>
          <w:rFonts w:ascii="Times New Roman" w:hAnsi="Times New Roman"/>
          <w:b/>
          <w:color w:val="000000"/>
          <w:sz w:val="20"/>
        </w:rPr>
        <w:t>Consolidated Statement of Comprehensive Loss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center"/>
        <w:rPr>
          <w:b/>
          <w:color w:val="000000"/>
          <w:sz w:val="20"/>
        </w:rPr>
      </w:pPr>
      <w:r>
        <w:rPr>
          <w:b/>
          <w:color w:val="000000"/>
          <w:sz w:val="20"/>
        </w:rPr>
      </w:r>
    </w:p>
    <w:p>
      <w:pPr>
        <w:pStyle w:val="Normal"/>
        <w:bidi w:val="0"/>
        <w:spacing w:before="0" w:after="0"/>
        <w:jc w:val="left"/>
        <w:rPr>
          <w:sz w:val="4"/>
          <w:szCs w:val="4"/>
        </w:rPr>
      </w:pPr>
      <w:r>
        <w:rPr>
          <w:sz w:val="4"/>
          <w:szCs w:val="4"/>
        </w:rPr>
      </w:r>
      <w:bookmarkStart w:id="51" w:name="z24cbfd45bfd34ace95a3db461ef25e79"/>
      <w:bookmarkStart w:id="52" w:name="z24cbfd45bfd34ace95a3db461ef25e79"/>
      <w:bookmarkEnd w:id="52"/>
    </w:p>
    <w:tbl>
      <w:tblPr>
        <w:tblW w:w="7905" w:type="dxa"/>
        <w:jc w:val="center"/>
        <w:tblInd w:w="0" w:type="dxa"/>
        <w:tblLayout w:type="fixed"/>
        <w:tblCellMar>
          <w:top w:w="0" w:type="dxa"/>
          <w:left w:w="0" w:type="dxa"/>
          <w:bottom w:w="0" w:type="dxa"/>
          <w:right w:w="0" w:type="dxa"/>
        </w:tblCellMar>
      </w:tblPr>
      <w:tblGrid>
        <w:gridCol w:w="6020"/>
        <w:gridCol w:w="60"/>
        <w:gridCol w:w="195"/>
        <w:gridCol w:w="1490"/>
        <w:gridCol w:w="140"/>
      </w:tblGrid>
      <w:tr>
        <w:trPr/>
        <w:tc>
          <w:tcPr>
            <w:tcW w:w="602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center"/>
              <w:rPr/>
            </w:pPr>
            <w:r>
              <w:rPr/>
              <w:t> </w:t>
            </w:r>
          </w:p>
        </w:tc>
        <w:tc>
          <w:tcPr>
            <w:tcW w:w="1685"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Year Ended</w:t>
            </w:r>
          </w:p>
          <w:p>
            <w:pPr>
              <w:pStyle w:val="TableContents"/>
              <w:bidi w:val="0"/>
              <w:spacing w:before="0" w:after="0"/>
              <w:jc w:val="center"/>
              <w:rPr>
                <w:b/>
                <w:color w:val="000000"/>
                <w:sz w:val="20"/>
              </w:rPr>
            </w:pPr>
            <w:r>
              <w:rPr>
                <w:b/>
                <w:color w:val="000000"/>
                <w:sz w:val="20"/>
              </w:rPr>
              <w:t xml:space="preserve">December 31, 2025 </w:t>
            </w:r>
          </w:p>
        </w:tc>
        <w:tc>
          <w:tcPr>
            <w:tcW w:w="140"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Collaboration revenue</w:t>
            </w:r>
          </w:p>
        </w:tc>
        <w:tc>
          <w:tcPr>
            <w:tcW w:w="60" w:type="dxa"/>
            <w:tcBorders/>
            <w:shd w:fill="CCEEFF" w:val="clear"/>
            <w:vAlign w:val="bottom"/>
          </w:tcPr>
          <w:p>
            <w:pPr>
              <w:pStyle w:val="TableContents"/>
              <w:bidi w:val="0"/>
              <w:spacing w:before="0" w:after="283"/>
              <w:jc w:val="right"/>
              <w:rPr/>
            </w:pPr>
            <w:r>
              <w:rPr/>
              <w:t> </w:t>
            </w:r>
          </w:p>
        </w:tc>
        <w:tc>
          <w:tcPr>
            <w:tcW w:w="195" w:type="dxa"/>
            <w:tcBorders/>
            <w:shd w:fill="CCEEFF" w:val="clear"/>
            <w:vAlign w:val="bottom"/>
          </w:tcPr>
          <w:p>
            <w:pPr>
              <w:pStyle w:val="TableContents"/>
              <w:bidi w:val="0"/>
              <w:spacing w:before="0" w:after="0"/>
              <w:jc w:val="left"/>
              <w:rPr>
                <w:color w:val="000000"/>
                <w:sz w:val="20"/>
              </w:rPr>
            </w:pPr>
            <w:r>
              <w:rPr>
                <w:color w:val="000000"/>
                <w:sz w:val="20"/>
              </w:rPr>
              <w:t>$</w:t>
            </w:r>
          </w:p>
        </w:tc>
        <w:tc>
          <w:tcPr>
            <w:tcW w:w="1490" w:type="dxa"/>
            <w:tcBorders/>
            <w:shd w:fill="CCEEFF" w:val="clear"/>
            <w:vAlign w:val="bottom"/>
          </w:tcPr>
          <w:p>
            <w:pPr>
              <w:pStyle w:val="TableContents"/>
              <w:bidi w:val="0"/>
              <w:spacing w:before="0" w:after="0"/>
              <w:jc w:val="right"/>
              <w:rPr>
                <w:color w:val="000000"/>
                <w:sz w:val="20"/>
              </w:rPr>
            </w:pPr>
            <w:r>
              <w:rPr>
                <w:color w:val="000000"/>
                <w:sz w:val="20"/>
              </w:rPr>
              <w:t>15,373</w:t>
            </w:r>
          </w:p>
        </w:tc>
        <w:tc>
          <w:tcPr>
            <w:tcW w:w="140"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80" w:right="0" w:hanging="180"/>
              <w:jc w:val="left"/>
              <w:rPr>
                <w:color w:val="000000"/>
                <w:sz w:val="20"/>
              </w:rPr>
            </w:pPr>
            <w:r>
              <w:rPr>
                <w:color w:val="000000"/>
                <w:sz w:val="20"/>
              </w:rPr>
              <w:t>Operating expenses:</w:t>
            </w:r>
          </w:p>
        </w:tc>
        <w:tc>
          <w:tcPr>
            <w:tcW w:w="60" w:type="dxa"/>
            <w:tcBorders/>
            <w:vAlign w:val="bottom"/>
          </w:tcPr>
          <w:p>
            <w:pPr>
              <w:pStyle w:val="TableContents"/>
              <w:bidi w:val="0"/>
              <w:spacing w:before="0" w:after="283"/>
              <w:jc w:val="right"/>
              <w:rPr/>
            </w:pPr>
            <w:r>
              <w:rPr/>
              <w:t> </w:t>
            </w:r>
          </w:p>
        </w:tc>
        <w:tc>
          <w:tcPr>
            <w:tcW w:w="195"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Research and development expenses</w:t>
            </w:r>
          </w:p>
        </w:tc>
        <w:tc>
          <w:tcPr>
            <w:tcW w:w="60" w:type="dxa"/>
            <w:tcBorders/>
            <w:shd w:fill="CCEEFF" w:val="clear"/>
            <w:vAlign w:val="bottom"/>
          </w:tcPr>
          <w:p>
            <w:pPr>
              <w:pStyle w:val="TableContents"/>
              <w:bidi w:val="0"/>
              <w:spacing w:before="0" w:after="283"/>
              <w:jc w:val="right"/>
              <w:rPr/>
            </w:pPr>
            <w:r>
              <w:rPr/>
              <w:t> </w:t>
            </w:r>
          </w:p>
        </w:tc>
        <w:tc>
          <w:tcPr>
            <w:tcW w:w="195"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before="0" w:after="0"/>
              <w:jc w:val="right"/>
              <w:rPr>
                <w:color w:val="000000"/>
                <w:sz w:val="20"/>
              </w:rPr>
            </w:pPr>
            <w:r>
              <w:rPr>
                <w:color w:val="000000"/>
                <w:sz w:val="20"/>
              </w:rPr>
              <w:t>19,330</w:t>
            </w:r>
          </w:p>
        </w:tc>
        <w:tc>
          <w:tcPr>
            <w:tcW w:w="140"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360" w:right="0" w:hanging="180"/>
              <w:jc w:val="left"/>
              <w:rPr>
                <w:color w:val="000000"/>
                <w:sz w:val="20"/>
              </w:rPr>
            </w:pPr>
            <w:r>
              <w:rPr>
                <w:color w:val="000000"/>
                <w:sz w:val="20"/>
              </w:rPr>
              <w:t>General and administrative expenses</w:t>
            </w:r>
          </w:p>
        </w:tc>
        <w:tc>
          <w:tcPr>
            <w:tcW w:w="60" w:type="dxa"/>
            <w:tcBorders/>
            <w:vAlign w:val="bottom"/>
          </w:tcPr>
          <w:p>
            <w:pPr>
              <w:pStyle w:val="TableContents"/>
              <w:bidi w:val="0"/>
              <w:spacing w:before="0" w:after="283"/>
              <w:jc w:val="righ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1490"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10,246</w:t>
            </w:r>
          </w:p>
        </w:tc>
        <w:tc>
          <w:tcPr>
            <w:tcW w:w="140"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Total operating expenses</w:t>
            </w:r>
          </w:p>
        </w:tc>
        <w:tc>
          <w:tcPr>
            <w:tcW w:w="60" w:type="dxa"/>
            <w:tcBorders/>
            <w:shd w:fill="CCEEFF" w:val="clear"/>
            <w:vAlign w:val="bottom"/>
          </w:tcPr>
          <w:p>
            <w:pPr>
              <w:pStyle w:val="TableContents"/>
              <w:bidi w:val="0"/>
              <w:spacing w:before="0" w:after="283"/>
              <w:jc w:val="right"/>
              <w:rPr/>
            </w:pPr>
            <w:r>
              <w:rPr/>
              <w:t> </w:t>
            </w:r>
          </w:p>
        </w:tc>
        <w:tc>
          <w:tcPr>
            <w:tcW w:w="1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29,576</w:t>
            </w:r>
          </w:p>
        </w:tc>
        <w:tc>
          <w:tcPr>
            <w:tcW w:w="140"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80" w:right="0" w:hanging="180"/>
              <w:jc w:val="left"/>
              <w:rPr>
                <w:color w:val="000000"/>
                <w:sz w:val="20"/>
              </w:rPr>
            </w:pPr>
            <w:r>
              <w:rPr>
                <w:color w:val="000000"/>
                <w:sz w:val="20"/>
              </w:rPr>
              <w:t>Other operating income, net</w:t>
            </w:r>
          </w:p>
        </w:tc>
        <w:tc>
          <w:tcPr>
            <w:tcW w:w="60" w:type="dxa"/>
            <w:tcBorders/>
            <w:vAlign w:val="bottom"/>
          </w:tcPr>
          <w:p>
            <w:pPr>
              <w:pStyle w:val="TableContents"/>
              <w:bidi w:val="0"/>
              <w:spacing w:before="0" w:after="283"/>
              <w:jc w:val="righ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1490"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403</w:t>
            </w:r>
          </w:p>
        </w:tc>
        <w:tc>
          <w:tcPr>
            <w:tcW w:w="140"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Loss from operations</w:t>
            </w:r>
          </w:p>
        </w:tc>
        <w:tc>
          <w:tcPr>
            <w:tcW w:w="60" w:type="dxa"/>
            <w:tcBorders/>
            <w:shd w:fill="CCEEFF" w:val="clear"/>
            <w:vAlign w:val="bottom"/>
          </w:tcPr>
          <w:p>
            <w:pPr>
              <w:pStyle w:val="TableContents"/>
              <w:bidi w:val="0"/>
              <w:spacing w:before="0" w:after="283"/>
              <w:jc w:val="right"/>
              <w:rPr/>
            </w:pPr>
            <w:r>
              <w:rPr/>
              <w:t> </w:t>
            </w:r>
          </w:p>
        </w:tc>
        <w:tc>
          <w:tcPr>
            <w:tcW w:w="1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(13,800</w:t>
            </w:r>
          </w:p>
        </w:tc>
        <w:tc>
          <w:tcPr>
            <w:tcW w:w="140" w:type="dxa"/>
            <w:tcBorders/>
            <w:shd w:fill="CCEEFF" w:val="clear"/>
            <w:vAlign w:val="bottom"/>
          </w:tcPr>
          <w:p>
            <w:pPr>
              <w:pStyle w:val="TableContents"/>
              <w:bidi w:val="0"/>
              <w:spacing w:before="0" w:after="0"/>
              <w:jc w:val="left"/>
              <w:rPr>
                <w:color w:val="000000"/>
                <w:sz w:val="20"/>
              </w:rPr>
            </w:pPr>
            <w:r>
              <w:rPr>
                <w:color w:val="000000"/>
                <w:sz w:val="20"/>
              </w:rPr>
              <w:t>)</w:t>
            </w:r>
          </w:p>
        </w:tc>
      </w:tr>
      <w:tr>
        <w:trPr/>
        <w:tc>
          <w:tcPr>
            <w:tcW w:w="6020" w:type="dxa"/>
            <w:tcBorders/>
            <w:vAlign w:val="bottom"/>
          </w:tcPr>
          <w:p>
            <w:pPr>
              <w:pStyle w:val="TableContents"/>
              <w:bidi w:val="0"/>
              <w:spacing w:before="0" w:after="0"/>
              <w:ind w:left="360" w:right="0" w:hanging="180"/>
              <w:jc w:val="left"/>
              <w:rPr>
                <w:color w:val="000000"/>
                <w:sz w:val="20"/>
              </w:rPr>
            </w:pPr>
            <w:r>
              <w:rPr>
                <w:color w:val="000000"/>
                <w:sz w:val="20"/>
              </w:rPr>
              <w:t>Foreign currency exchange loss</w:t>
            </w:r>
          </w:p>
        </w:tc>
        <w:tc>
          <w:tcPr>
            <w:tcW w:w="60" w:type="dxa"/>
            <w:tcBorders/>
            <w:vAlign w:val="bottom"/>
          </w:tcPr>
          <w:p>
            <w:pPr>
              <w:pStyle w:val="TableContents"/>
              <w:bidi w:val="0"/>
              <w:spacing w:before="0" w:after="283"/>
              <w:jc w:val="right"/>
              <w:rPr/>
            </w:pPr>
            <w:r>
              <w:rPr/>
              <w:t> </w:t>
            </w:r>
          </w:p>
        </w:tc>
        <w:tc>
          <w:tcPr>
            <w:tcW w:w="195"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0"/>
              <w:jc w:val="right"/>
              <w:rPr>
                <w:color w:val="000000"/>
                <w:sz w:val="20"/>
              </w:rPr>
            </w:pPr>
            <w:r>
              <w:rPr>
                <w:color w:val="000000"/>
                <w:sz w:val="20"/>
              </w:rPr>
              <w:t>(198</w:t>
            </w:r>
          </w:p>
        </w:tc>
        <w:tc>
          <w:tcPr>
            <w:tcW w:w="140" w:type="dxa"/>
            <w:tcBorders/>
            <w:vAlign w:val="bottom"/>
          </w:tcPr>
          <w:p>
            <w:pPr>
              <w:pStyle w:val="TableContents"/>
              <w:bidi w:val="0"/>
              <w:spacing w:before="0" w:after="283"/>
              <w:jc w:val="left"/>
              <w:rPr>
                <w:sz w:val="20"/>
              </w:rPr>
            </w:pPr>
            <w:r>
              <w:rPr>
                <w:sz w:val="20"/>
              </w:rPr>
              <w:t xml:space="preserve">) </w:t>
            </w:r>
          </w:p>
        </w:tc>
      </w:tr>
      <w:tr>
        <w:trPr/>
        <w:tc>
          <w:tcPr>
            <w:tcW w:w="6020"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Interest income</w:t>
            </w:r>
          </w:p>
        </w:tc>
        <w:tc>
          <w:tcPr>
            <w:tcW w:w="60" w:type="dxa"/>
            <w:tcBorders/>
            <w:shd w:fill="CCEEFF" w:val="clear"/>
            <w:vAlign w:val="bottom"/>
          </w:tcPr>
          <w:p>
            <w:pPr>
              <w:pStyle w:val="TableContents"/>
              <w:bidi w:val="0"/>
              <w:spacing w:before="0" w:after="283"/>
              <w:jc w:val="right"/>
              <w:rPr/>
            </w:pPr>
            <w:r>
              <w:rPr/>
              <w:t> </w:t>
            </w:r>
          </w:p>
        </w:tc>
        <w:tc>
          <w:tcPr>
            <w:tcW w:w="195"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before="0" w:after="0"/>
              <w:jc w:val="right"/>
              <w:rPr>
                <w:color w:val="000000"/>
                <w:sz w:val="20"/>
              </w:rPr>
            </w:pPr>
            <w:r>
              <w:rPr>
                <w:color w:val="000000"/>
                <w:sz w:val="20"/>
              </w:rPr>
              <w:t>1,905</w:t>
            </w:r>
          </w:p>
        </w:tc>
        <w:tc>
          <w:tcPr>
            <w:tcW w:w="140"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360" w:right="0" w:hanging="180"/>
              <w:jc w:val="left"/>
              <w:rPr>
                <w:color w:val="000000"/>
                <w:sz w:val="20"/>
              </w:rPr>
            </w:pPr>
            <w:r>
              <w:rPr>
                <w:color w:val="000000"/>
                <w:sz w:val="20"/>
              </w:rPr>
              <w:t>Other income, net</w:t>
            </w:r>
          </w:p>
        </w:tc>
        <w:tc>
          <w:tcPr>
            <w:tcW w:w="60" w:type="dxa"/>
            <w:tcBorders/>
            <w:vAlign w:val="bottom"/>
          </w:tcPr>
          <w:p>
            <w:pPr>
              <w:pStyle w:val="TableContents"/>
              <w:bidi w:val="0"/>
              <w:spacing w:before="0" w:after="283"/>
              <w:jc w:val="righ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1490"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198</w:t>
            </w:r>
          </w:p>
        </w:tc>
        <w:tc>
          <w:tcPr>
            <w:tcW w:w="140"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Loss before income taxes</w:t>
            </w:r>
          </w:p>
        </w:tc>
        <w:tc>
          <w:tcPr>
            <w:tcW w:w="60" w:type="dxa"/>
            <w:tcBorders/>
            <w:shd w:fill="CCEEFF" w:val="clear"/>
            <w:vAlign w:val="bottom"/>
          </w:tcPr>
          <w:p>
            <w:pPr>
              <w:pStyle w:val="TableContents"/>
              <w:bidi w:val="0"/>
              <w:spacing w:before="0" w:after="283"/>
              <w:jc w:val="right"/>
              <w:rPr/>
            </w:pPr>
            <w:r>
              <w:rPr/>
              <w:t> </w:t>
            </w:r>
          </w:p>
        </w:tc>
        <w:tc>
          <w:tcPr>
            <w:tcW w:w="195"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before="0" w:after="0"/>
              <w:jc w:val="right"/>
              <w:rPr>
                <w:color w:val="000000"/>
                <w:sz w:val="20"/>
              </w:rPr>
            </w:pPr>
            <w:r>
              <w:rPr>
                <w:color w:val="000000"/>
                <w:sz w:val="20"/>
              </w:rPr>
              <w:t>(11,895</w:t>
            </w:r>
          </w:p>
        </w:tc>
        <w:tc>
          <w:tcPr>
            <w:tcW w:w="140" w:type="dxa"/>
            <w:tcBorders/>
            <w:shd w:fill="CCEEFF" w:val="clear"/>
            <w:vAlign w:val="bottom"/>
          </w:tcPr>
          <w:p>
            <w:pPr>
              <w:pStyle w:val="TableContents"/>
              <w:bidi w:val="0"/>
              <w:spacing w:before="0" w:after="283"/>
              <w:jc w:val="left"/>
              <w:rPr>
                <w:sz w:val="20"/>
              </w:rPr>
            </w:pPr>
            <w:r>
              <w:rPr>
                <w:sz w:val="20"/>
              </w:rPr>
              <w:t xml:space="preserve">) </w:t>
            </w:r>
          </w:p>
        </w:tc>
      </w:tr>
      <w:tr>
        <w:trPr/>
        <w:tc>
          <w:tcPr>
            <w:tcW w:w="6020" w:type="dxa"/>
            <w:tcBorders/>
            <w:vAlign w:val="bottom"/>
          </w:tcPr>
          <w:p>
            <w:pPr>
              <w:pStyle w:val="TableContents"/>
              <w:bidi w:val="0"/>
              <w:spacing w:before="0" w:after="0"/>
              <w:ind w:left="180" w:right="0" w:hanging="180"/>
              <w:jc w:val="left"/>
              <w:rPr>
                <w:color w:val="000000"/>
                <w:sz w:val="20"/>
              </w:rPr>
            </w:pPr>
            <w:r>
              <w:rPr>
                <w:color w:val="000000"/>
                <w:sz w:val="20"/>
              </w:rPr>
              <w:t>Income tax benefit</w:t>
            </w:r>
          </w:p>
        </w:tc>
        <w:tc>
          <w:tcPr>
            <w:tcW w:w="60" w:type="dxa"/>
            <w:tcBorders/>
            <w:vAlign w:val="bottom"/>
          </w:tcPr>
          <w:p>
            <w:pPr>
              <w:pStyle w:val="TableContents"/>
              <w:bidi w:val="0"/>
              <w:spacing w:before="0" w:after="283"/>
              <w:jc w:val="righ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1490"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1,090</w:t>
            </w:r>
          </w:p>
        </w:tc>
        <w:tc>
          <w:tcPr>
            <w:tcW w:w="140" w:type="dxa"/>
            <w:tcBorders/>
            <w:vAlign w:val="bottom"/>
          </w:tcPr>
          <w:p>
            <w:pPr>
              <w:pStyle w:val="TableContents"/>
              <w:bidi w:val="0"/>
              <w:spacing w:before="0" w:after="0"/>
              <w:jc w:val="left"/>
              <w:rPr>
                <w:color w:val="000000"/>
                <w:sz w:val="20"/>
              </w:rPr>
            </w:pPr>
            <w:r>
              <w:rPr>
                <w:color w:val="000000"/>
                <w:sz w:val="20"/>
              </w:rPr>
            </w:r>
          </w:p>
        </w:tc>
      </w:tr>
      <w:tr>
        <w:trPr/>
        <w:tc>
          <w:tcPr>
            <w:tcW w:w="6020"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Net loss</w:t>
            </w:r>
          </w:p>
        </w:tc>
        <w:tc>
          <w:tcPr>
            <w:tcW w:w="60" w:type="dxa"/>
            <w:tcBorders/>
            <w:shd w:fill="CCEEFF" w:val="clear"/>
            <w:vAlign w:val="bottom"/>
          </w:tcPr>
          <w:p>
            <w:pPr>
              <w:pStyle w:val="TableContents"/>
              <w:bidi w:val="0"/>
              <w:spacing w:before="0" w:after="283"/>
              <w:jc w:val="right"/>
              <w:rPr/>
            </w:pPr>
            <w:r>
              <w:rPr/>
              <w:t> </w:t>
            </w:r>
          </w:p>
        </w:tc>
        <w:tc>
          <w:tcPr>
            <w:tcW w:w="195" w:type="dxa"/>
            <w:tcBorders>
              <w:bottom w:val="single" w:sz="12" w:space="0" w:color="000000"/>
            </w:tcBorders>
            <w:shd w:fill="CCEEFF" w:val="clear"/>
            <w:tcMar>
              <w:bottom w:w="28" w:type="dxa"/>
            </w:tcMar>
            <w:vAlign w:val="bottom"/>
          </w:tcPr>
          <w:p>
            <w:pPr>
              <w:pStyle w:val="TableContents"/>
              <w:bidi w:val="0"/>
              <w:spacing w:before="0" w:after="283"/>
              <w:jc w:val="left"/>
              <w:rPr>
                <w:sz w:val="20"/>
              </w:rPr>
            </w:pPr>
            <w:r>
              <w:rPr>
                <w:sz w:val="20"/>
              </w:rPr>
              <w:t>$</w:t>
            </w:r>
          </w:p>
        </w:tc>
        <w:tc>
          <w:tcPr>
            <w:tcW w:w="1490"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(10,805</w:t>
            </w:r>
          </w:p>
        </w:tc>
        <w:tc>
          <w:tcPr>
            <w:tcW w:w="140" w:type="dxa"/>
            <w:tcBorders/>
            <w:shd w:fill="CCEEFF" w:val="clear"/>
            <w:vAlign w:val="bottom"/>
          </w:tcPr>
          <w:p>
            <w:pPr>
              <w:pStyle w:val="TableContents"/>
              <w:bidi w:val="0"/>
              <w:spacing w:before="0" w:after="283"/>
              <w:jc w:val="left"/>
              <w:rPr>
                <w:sz w:val="20"/>
              </w:rPr>
            </w:pPr>
            <w:r>
              <w:rPr>
                <w:sz w:val="20"/>
              </w:rPr>
              <w:t>)</w:t>
            </w:r>
          </w:p>
        </w:tc>
      </w:tr>
      <w:tr>
        <w:trPr/>
        <w:tc>
          <w:tcPr>
            <w:tcW w:w="6020" w:type="dxa"/>
            <w:tcBorders/>
            <w:vAlign w:val="bottom"/>
          </w:tcPr>
          <w:p>
            <w:pPr>
              <w:pStyle w:val="TableContents"/>
              <w:bidi w:val="0"/>
              <w:spacing w:before="0" w:after="0"/>
              <w:ind w:left="180" w:right="0" w:hanging="180"/>
              <w:jc w:val="left"/>
              <w:rPr>
                <w:color w:val="000000"/>
                <w:sz w:val="20"/>
              </w:rPr>
            </w:pPr>
            <w:r>
              <w:rPr>
                <w:color w:val="000000"/>
                <w:sz w:val="20"/>
              </w:rPr>
              <w:t>Accretion of redeemable convertible preferred stock</w:t>
            </w:r>
          </w:p>
        </w:tc>
        <w:tc>
          <w:tcPr>
            <w:tcW w:w="60" w:type="dxa"/>
            <w:tcBorders/>
            <w:vAlign w:val="bottom"/>
          </w:tcPr>
          <w:p>
            <w:pPr>
              <w:pStyle w:val="TableContents"/>
              <w:bidi w:val="0"/>
              <w:spacing w:before="0" w:after="283"/>
              <w:jc w:val="righ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1490"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(14,801</w:t>
            </w:r>
          </w:p>
        </w:tc>
        <w:tc>
          <w:tcPr>
            <w:tcW w:w="140" w:type="dxa"/>
            <w:tcBorders/>
            <w:vAlign w:val="bottom"/>
          </w:tcPr>
          <w:p>
            <w:pPr>
              <w:pStyle w:val="TableContents"/>
              <w:bidi w:val="0"/>
              <w:spacing w:before="0" w:after="0"/>
              <w:jc w:val="left"/>
              <w:rPr>
                <w:color w:val="000000"/>
                <w:sz w:val="20"/>
              </w:rPr>
            </w:pPr>
            <w:r>
              <w:rPr>
                <w:color w:val="000000"/>
                <w:sz w:val="20"/>
              </w:rPr>
              <w:t>)</w:t>
            </w:r>
          </w:p>
        </w:tc>
      </w:tr>
      <w:tr>
        <w:trPr/>
        <w:tc>
          <w:tcPr>
            <w:tcW w:w="6020"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Net loss attributable to common stockholders</w:t>
            </w:r>
          </w:p>
        </w:tc>
        <w:tc>
          <w:tcPr>
            <w:tcW w:w="60" w:type="dxa"/>
            <w:tcBorders/>
            <w:shd w:fill="CCEEFF" w:val="clear"/>
            <w:vAlign w:val="bottom"/>
          </w:tcPr>
          <w:p>
            <w:pPr>
              <w:pStyle w:val="TableContents"/>
              <w:bidi w:val="0"/>
              <w:spacing w:before="0" w:after="283"/>
              <w:jc w:val="right"/>
              <w:rPr/>
            </w:pPr>
            <w:r>
              <w:rPr/>
              <w:t> </w:t>
            </w:r>
          </w:p>
        </w:tc>
        <w:tc>
          <w:tcPr>
            <w:tcW w:w="19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490" w:type="dxa"/>
            <w:tcBorders>
              <w:bottom w:val="double" w:sz="8"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(25,606</w:t>
            </w:r>
          </w:p>
        </w:tc>
        <w:tc>
          <w:tcPr>
            <w:tcW w:w="140" w:type="dxa"/>
            <w:tcBorders/>
            <w:shd w:fill="CCEEFF" w:val="clear"/>
            <w:vAlign w:val="bottom"/>
          </w:tcPr>
          <w:p>
            <w:pPr>
              <w:pStyle w:val="TableContents"/>
              <w:bidi w:val="0"/>
              <w:spacing w:before="0" w:after="0"/>
              <w:jc w:val="left"/>
              <w:rPr>
                <w:color w:val="000000"/>
                <w:sz w:val="20"/>
              </w:rPr>
            </w:pPr>
            <w:r>
              <w:rPr>
                <w:color w:val="000000"/>
                <w:sz w:val="20"/>
              </w:rPr>
              <w:t>)</w:t>
            </w:r>
          </w:p>
        </w:tc>
      </w:tr>
      <w:tr>
        <w:trPr/>
        <w:tc>
          <w:tcPr>
            <w:tcW w:w="6020" w:type="dxa"/>
            <w:tcBorders/>
            <w:vAlign w:val="bottom"/>
          </w:tcPr>
          <w:p>
            <w:pPr>
              <w:pStyle w:val="TableContents"/>
              <w:bidi w:val="0"/>
              <w:spacing w:before="0" w:after="0"/>
              <w:ind w:left="180" w:right="0" w:hanging="180"/>
              <w:jc w:val="left"/>
              <w:rPr>
                <w:color w:val="000000"/>
                <w:sz w:val="20"/>
              </w:rPr>
            </w:pPr>
            <w:r>
              <w:rPr>
                <w:color w:val="000000"/>
                <w:sz w:val="20"/>
              </w:rPr>
              <w:t>Net loss per share attributable to common stockholders - basic and diluted</w:t>
            </w:r>
          </w:p>
        </w:tc>
        <w:tc>
          <w:tcPr>
            <w:tcW w:w="60" w:type="dxa"/>
            <w:tcBorders/>
            <w:vAlign w:val="bottom"/>
          </w:tcPr>
          <w:p>
            <w:pPr>
              <w:pStyle w:val="TableContents"/>
              <w:bidi w:val="0"/>
              <w:spacing w:before="0" w:after="283"/>
              <w:jc w:val="right"/>
              <w:rPr/>
            </w:pPr>
            <w:r>
              <w:rPr/>
              <w:t> </w:t>
            </w:r>
          </w:p>
        </w:tc>
        <w:tc>
          <w:tcPr>
            <w:tcW w:w="195" w:type="dxa"/>
            <w:tcBorders>
              <w:bottom w:val="double" w:sz="8" w:space="0" w:color="000000"/>
            </w:tcBorders>
            <w:tcMar>
              <w:bottom w:w="28" w:type="dxa"/>
            </w:tcMar>
            <w:vAlign w:val="bottom"/>
          </w:tcPr>
          <w:p>
            <w:pPr>
              <w:pStyle w:val="TableContents"/>
              <w:bidi w:val="0"/>
              <w:spacing w:before="0" w:after="0"/>
              <w:jc w:val="left"/>
              <w:rPr>
                <w:color w:val="000000"/>
                <w:sz w:val="20"/>
              </w:rPr>
            </w:pPr>
            <w:r>
              <w:rPr>
                <w:color w:val="000000"/>
                <w:sz w:val="20"/>
              </w:rPr>
              <w:t>$</w:t>
            </w:r>
          </w:p>
        </w:tc>
        <w:tc>
          <w:tcPr>
            <w:tcW w:w="1490"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(2.55</w:t>
            </w:r>
          </w:p>
        </w:tc>
        <w:tc>
          <w:tcPr>
            <w:tcW w:w="140" w:type="dxa"/>
            <w:tcBorders/>
            <w:vAlign w:val="bottom"/>
          </w:tcPr>
          <w:p>
            <w:pPr>
              <w:pStyle w:val="TableContents"/>
              <w:bidi w:val="0"/>
              <w:spacing w:before="0" w:after="0"/>
              <w:jc w:val="left"/>
              <w:rPr>
                <w:color w:val="000000"/>
                <w:sz w:val="20"/>
              </w:rPr>
            </w:pPr>
            <w:r>
              <w:rPr>
                <w:color w:val="000000"/>
                <w:sz w:val="20"/>
              </w:rPr>
              <w:t>)</w:t>
            </w:r>
          </w:p>
        </w:tc>
      </w:tr>
      <w:tr>
        <w:trPr/>
        <w:tc>
          <w:tcPr>
            <w:tcW w:w="6020"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Weighted average common stocks outstanding - basic and diluted</w:t>
            </w:r>
          </w:p>
        </w:tc>
        <w:tc>
          <w:tcPr>
            <w:tcW w:w="60" w:type="dxa"/>
            <w:tcBorders/>
            <w:shd w:fill="CCEEFF" w:val="clear"/>
            <w:vAlign w:val="bottom"/>
          </w:tcPr>
          <w:p>
            <w:pPr>
              <w:pStyle w:val="TableContents"/>
              <w:bidi w:val="0"/>
              <w:spacing w:before="0" w:after="283"/>
              <w:jc w:val="right"/>
              <w:rPr/>
            </w:pPr>
            <w:r>
              <w:rPr/>
              <w:t> </w:t>
            </w:r>
          </w:p>
        </w:tc>
        <w:tc>
          <w:tcPr>
            <w:tcW w:w="19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490" w:type="dxa"/>
            <w:tcBorders>
              <w:bottom w:val="double" w:sz="8"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10,023,615</w:t>
            </w:r>
          </w:p>
        </w:tc>
        <w:tc>
          <w:tcPr>
            <w:tcW w:w="140"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right"/>
              <w:rPr/>
            </w:pPr>
            <w:r>
              <w:rPr/>
              <w:t> </w:t>
            </w:r>
          </w:p>
        </w:tc>
        <w:tc>
          <w:tcPr>
            <w:tcW w:w="195"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Other comprehensive loss:</w:t>
            </w:r>
          </w:p>
        </w:tc>
        <w:tc>
          <w:tcPr>
            <w:tcW w:w="60" w:type="dxa"/>
            <w:tcBorders/>
            <w:shd w:fill="CCEEFF" w:val="clear"/>
            <w:vAlign w:val="bottom"/>
          </w:tcPr>
          <w:p>
            <w:pPr>
              <w:pStyle w:val="TableContents"/>
              <w:bidi w:val="0"/>
              <w:spacing w:before="0" w:after="283"/>
              <w:jc w:val="right"/>
              <w:rPr/>
            </w:pPr>
            <w:r>
              <w:rPr/>
              <w:t> </w:t>
            </w:r>
          </w:p>
        </w:tc>
        <w:tc>
          <w:tcPr>
            <w:tcW w:w="195"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360" w:right="0" w:hanging="180"/>
              <w:jc w:val="left"/>
              <w:rPr>
                <w:color w:val="000000"/>
                <w:sz w:val="20"/>
              </w:rPr>
            </w:pPr>
            <w:r>
              <w:rPr>
                <w:color w:val="000000"/>
                <w:sz w:val="20"/>
              </w:rPr>
              <w:t>Unrealized gains on short-term investments</w:t>
            </w:r>
          </w:p>
        </w:tc>
        <w:tc>
          <w:tcPr>
            <w:tcW w:w="60" w:type="dxa"/>
            <w:tcBorders/>
            <w:vAlign w:val="bottom"/>
          </w:tcPr>
          <w:p>
            <w:pPr>
              <w:pStyle w:val="TableContents"/>
              <w:bidi w:val="0"/>
              <w:spacing w:before="0" w:after="283"/>
              <w:jc w:val="right"/>
              <w:rPr/>
            </w:pPr>
            <w:r>
              <w:rPr/>
              <w:t> </w:t>
            </w:r>
          </w:p>
        </w:tc>
        <w:tc>
          <w:tcPr>
            <w:tcW w:w="195"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283"/>
              <w:jc w:val="right"/>
              <w:rPr>
                <w:sz w:val="20"/>
              </w:rPr>
            </w:pPr>
            <w:r>
              <w:rPr>
                <w:sz w:val="20"/>
              </w:rPr>
              <w:t>23</w:t>
            </w:r>
          </w:p>
        </w:tc>
        <w:tc>
          <w:tcPr>
            <w:tcW w:w="140" w:type="dxa"/>
            <w:tcBorders/>
            <w:vAlign w:val="bottom"/>
          </w:tcPr>
          <w:p>
            <w:pPr>
              <w:pStyle w:val="TableContents"/>
              <w:bidi w:val="0"/>
              <w:spacing w:before="0" w:after="283"/>
              <w:jc w:val="left"/>
              <w:rPr/>
            </w:pPr>
            <w:r>
              <w:rPr/>
            </w:r>
          </w:p>
        </w:tc>
      </w:tr>
      <w:tr>
        <w:trPr/>
        <w:tc>
          <w:tcPr>
            <w:tcW w:w="6020"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Reclassification adjustment for gains included in net loss</w:t>
            </w:r>
          </w:p>
        </w:tc>
        <w:tc>
          <w:tcPr>
            <w:tcW w:w="60" w:type="dxa"/>
            <w:tcBorders/>
            <w:shd w:fill="CCEEFF" w:val="clear"/>
            <w:vAlign w:val="bottom"/>
          </w:tcPr>
          <w:p>
            <w:pPr>
              <w:pStyle w:val="TableContents"/>
              <w:bidi w:val="0"/>
              <w:spacing w:before="0" w:after="283"/>
              <w:jc w:val="right"/>
              <w:rPr/>
            </w:pPr>
            <w:r>
              <w:rPr/>
              <w:t> </w:t>
            </w:r>
          </w:p>
        </w:tc>
        <w:tc>
          <w:tcPr>
            <w:tcW w:w="195"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before="0" w:after="0"/>
              <w:jc w:val="right"/>
              <w:rPr>
                <w:color w:val="000000"/>
                <w:sz w:val="20"/>
              </w:rPr>
            </w:pPr>
            <w:r>
              <w:rPr>
                <w:color w:val="000000"/>
                <w:sz w:val="20"/>
              </w:rPr>
              <w:t>(10</w:t>
            </w:r>
          </w:p>
        </w:tc>
        <w:tc>
          <w:tcPr>
            <w:tcW w:w="140" w:type="dxa"/>
            <w:tcBorders/>
            <w:shd w:fill="CCEEFF" w:val="clear"/>
            <w:vAlign w:val="bottom"/>
          </w:tcPr>
          <w:p>
            <w:pPr>
              <w:pStyle w:val="TableContents"/>
              <w:bidi w:val="0"/>
              <w:spacing w:before="0" w:after="283"/>
              <w:jc w:val="left"/>
              <w:rPr>
                <w:sz w:val="20"/>
              </w:rPr>
            </w:pPr>
            <w:r>
              <w:rPr>
                <w:sz w:val="20"/>
              </w:rPr>
              <w:t>)</w:t>
            </w:r>
          </w:p>
        </w:tc>
      </w:tr>
      <w:tr>
        <w:trPr/>
        <w:tc>
          <w:tcPr>
            <w:tcW w:w="6020" w:type="dxa"/>
            <w:tcBorders/>
            <w:vAlign w:val="bottom"/>
          </w:tcPr>
          <w:p>
            <w:pPr>
              <w:pStyle w:val="TableContents"/>
              <w:bidi w:val="0"/>
              <w:spacing w:before="0" w:after="0"/>
              <w:ind w:left="360" w:right="0" w:hanging="180"/>
              <w:jc w:val="left"/>
              <w:rPr>
                <w:color w:val="000000"/>
                <w:sz w:val="20"/>
              </w:rPr>
            </w:pPr>
            <w:r>
              <w:rPr>
                <w:color w:val="000000"/>
                <w:sz w:val="20"/>
              </w:rPr>
              <w:t>Foreign currency translation adjustment</w:t>
            </w:r>
          </w:p>
        </w:tc>
        <w:tc>
          <w:tcPr>
            <w:tcW w:w="60" w:type="dxa"/>
            <w:tcBorders/>
            <w:vAlign w:val="bottom"/>
          </w:tcPr>
          <w:p>
            <w:pPr>
              <w:pStyle w:val="TableContents"/>
              <w:bidi w:val="0"/>
              <w:spacing w:before="0" w:after="283"/>
              <w:jc w:val="righ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1490"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432</w:t>
            </w:r>
          </w:p>
        </w:tc>
        <w:tc>
          <w:tcPr>
            <w:tcW w:w="140" w:type="dxa"/>
            <w:tcBorders/>
            <w:vAlign w:val="bottom"/>
          </w:tcPr>
          <w:p>
            <w:pPr>
              <w:pStyle w:val="TableContents"/>
              <w:bidi w:val="0"/>
              <w:spacing w:before="0" w:after="0"/>
              <w:jc w:val="left"/>
              <w:rPr>
                <w:color w:val="000000"/>
                <w:sz w:val="20"/>
              </w:rPr>
            </w:pPr>
            <w:r>
              <w:rPr>
                <w:color w:val="000000"/>
                <w:sz w:val="20"/>
              </w:rPr>
            </w:r>
          </w:p>
        </w:tc>
      </w:tr>
      <w:tr>
        <w:trPr/>
        <w:tc>
          <w:tcPr>
            <w:tcW w:w="6020"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Comprehensive loss</w:t>
            </w:r>
          </w:p>
        </w:tc>
        <w:tc>
          <w:tcPr>
            <w:tcW w:w="60" w:type="dxa"/>
            <w:tcBorders/>
            <w:shd w:fill="CCEEFF" w:val="clear"/>
            <w:vAlign w:val="bottom"/>
          </w:tcPr>
          <w:p>
            <w:pPr>
              <w:pStyle w:val="TableContents"/>
              <w:bidi w:val="0"/>
              <w:spacing w:before="0" w:after="283"/>
              <w:jc w:val="right"/>
              <w:rPr/>
            </w:pPr>
            <w:r>
              <w:rPr/>
              <w:t> </w:t>
            </w:r>
          </w:p>
        </w:tc>
        <w:tc>
          <w:tcPr>
            <w:tcW w:w="19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490" w:type="dxa"/>
            <w:tcBorders>
              <w:bottom w:val="double" w:sz="8"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(10,360</w:t>
            </w:r>
          </w:p>
        </w:tc>
        <w:tc>
          <w:tcPr>
            <w:tcW w:w="140" w:type="dxa"/>
            <w:tcBorders/>
            <w:shd w:fill="CCEEFF" w:val="clear"/>
            <w:vAlign w:val="bottom"/>
          </w:tcPr>
          <w:p>
            <w:pPr>
              <w:pStyle w:val="TableContents"/>
              <w:bidi w:val="0"/>
              <w:spacing w:before="0" w:after="0"/>
              <w:jc w:val="left"/>
              <w:rPr>
                <w:color w:val="000000"/>
                <w:sz w:val="20"/>
              </w:rPr>
            </w:pPr>
            <w:r>
              <w:rPr>
                <w:color w:val="000000"/>
                <w:sz w:val="20"/>
              </w:rPr>
              <w:t>)</w:t>
            </w:r>
          </w:p>
        </w:tc>
      </w:tr>
      <w:tr>
        <w:trPr/>
        <w:tc>
          <w:tcPr>
            <w:tcW w:w="6020" w:type="dxa"/>
            <w:tcBorders/>
            <w:vAlign w:val="bottom"/>
          </w:tcPr>
          <w:p>
            <w:pPr>
              <w:pStyle w:val="TableContents"/>
              <w:bidi w:val="0"/>
              <w:spacing w:before="0" w:after="0"/>
              <w:ind w:left="180" w:right="0" w:hanging="180"/>
              <w:jc w:val="left"/>
              <w:rPr>
                <w:color w:val="000000"/>
                <w:sz w:val="20"/>
              </w:rPr>
            </w:pPr>
            <w:r>
              <w:rPr>
                <w:color w:val="000000"/>
                <w:sz w:val="20"/>
              </w:rPr>
              <w:t>Comprehensive loss attributable to common stockholders</w:t>
            </w:r>
          </w:p>
        </w:tc>
        <w:tc>
          <w:tcPr>
            <w:tcW w:w="60" w:type="dxa"/>
            <w:tcBorders/>
            <w:vAlign w:val="bottom"/>
          </w:tcPr>
          <w:p>
            <w:pPr>
              <w:pStyle w:val="TableContents"/>
              <w:bidi w:val="0"/>
              <w:spacing w:before="0" w:after="283"/>
              <w:jc w:val="right"/>
              <w:rPr/>
            </w:pPr>
            <w:r>
              <w:rPr/>
              <w:t> </w:t>
            </w:r>
          </w:p>
        </w:tc>
        <w:tc>
          <w:tcPr>
            <w:tcW w:w="195" w:type="dxa"/>
            <w:tcBorders>
              <w:bottom w:val="double" w:sz="8" w:space="0" w:color="000000"/>
            </w:tcBorders>
            <w:tcMar>
              <w:bottom w:w="28" w:type="dxa"/>
            </w:tcMar>
            <w:vAlign w:val="bottom"/>
          </w:tcPr>
          <w:p>
            <w:pPr>
              <w:pStyle w:val="TableContents"/>
              <w:bidi w:val="0"/>
              <w:spacing w:before="0" w:after="283"/>
              <w:jc w:val="left"/>
              <w:rPr/>
            </w:pPr>
            <w:r>
              <w:rPr/>
              <w:t> </w:t>
            </w:r>
          </w:p>
        </w:tc>
        <w:tc>
          <w:tcPr>
            <w:tcW w:w="1490"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(25,161</w:t>
            </w:r>
          </w:p>
        </w:tc>
        <w:tc>
          <w:tcPr>
            <w:tcW w:w="140" w:type="dxa"/>
            <w:tcBorders/>
            <w:vAlign w:val="bottom"/>
          </w:tcPr>
          <w:p>
            <w:pPr>
              <w:pStyle w:val="TableContents"/>
              <w:bidi w:val="0"/>
              <w:spacing w:before="0" w:after="0"/>
              <w:jc w:val="left"/>
              <w:rPr>
                <w:color w:val="000000"/>
                <w:sz w:val="20"/>
              </w:rPr>
            </w:pPr>
            <w:r>
              <w:rPr>
                <w:color w:val="000000"/>
                <w:sz w:val="20"/>
              </w:rPr>
              <w:t>)</w:t>
            </w:r>
          </w:p>
        </w:tc>
      </w:tr>
    </w:tbl>
    <w:p>
      <w:pPr>
        <w:pStyle w:val="TextBody"/>
        <w:bidi w:val="0"/>
        <w:spacing w:before="0" w:after="0"/>
        <w:jc w:val="center"/>
        <w:rPr>
          <w:i/>
          <w:color w:val="000000"/>
          <w:sz w:val="20"/>
        </w:rPr>
      </w:pPr>
      <w:r>
        <w:rPr>
          <w:i/>
          <w:color w:val="000000"/>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The accompanying footnotes are an integral part of these consolidated financial statements.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b/>
          <w:color w:val="000000"/>
          <w:sz w:val="20"/>
        </w:rPr>
      </w:pPr>
      <w:r>
        <w:rPr>
          <w:b/>
          <w:color w:val="000000"/>
          <w:sz w:val="20"/>
        </w:rPr>
      </w:r>
    </w:p>
    <w:p>
      <w:pPr>
        <w:pStyle w:val="TextBody"/>
        <w:bidi w:val="0"/>
        <w:spacing w:before="0" w:after="0"/>
        <w:jc w:val="center"/>
        <w:rPr>
          <w:rFonts w:ascii="Times New Roman" w:hAnsi="Times New Roman"/>
          <w:b/>
          <w:color w:val="000000"/>
          <w:sz w:val="20"/>
        </w:rPr>
      </w:pPr>
      <w:bookmarkStart w:id="53" w:name="cCSRC"/>
      <w:bookmarkStart w:id="54" w:name="ConsolidatedStatementsofR"/>
      <w:bookmarkEnd w:id="53"/>
      <w:bookmarkEnd w:id="54"/>
      <w:r>
        <w:rPr>
          <w:rFonts w:ascii="Times New Roman" w:hAnsi="Times New Roman"/>
          <w:b/>
          <w:color w:val="000000"/>
          <w:sz w:val="20"/>
        </w:rPr>
        <w:t>Consolidated Statement of Redeemable Convertible Preferred Stock and Stockholders’ Deficit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spacing w:before="0" w:after="0"/>
        <w:jc w:val="center"/>
        <w:rPr>
          <w:b/>
          <w:color w:val="000000"/>
          <w:sz w:val="20"/>
        </w:rPr>
      </w:pPr>
      <w:r>
        <w:rPr>
          <w:b/>
          <w:color w:val="000000"/>
          <w:sz w:val="20"/>
        </w:rPr>
      </w:r>
    </w:p>
    <w:p>
      <w:pPr>
        <w:pStyle w:val="Normal"/>
        <w:bidi w:val="0"/>
        <w:spacing w:before="0" w:after="0"/>
        <w:jc w:val="left"/>
        <w:rPr>
          <w:sz w:val="4"/>
          <w:szCs w:val="4"/>
        </w:rPr>
      </w:pPr>
      <w:r>
        <w:rPr>
          <w:sz w:val="4"/>
          <w:szCs w:val="4"/>
        </w:rPr>
      </w:r>
      <w:bookmarkStart w:id="55" w:name="zffd135abc1754864810d3c15c5036a07"/>
      <w:bookmarkStart w:id="56" w:name="zffd135abc1754864810d3c15c5036a07"/>
      <w:bookmarkEnd w:id="56"/>
    </w:p>
    <w:tbl>
      <w:tblPr>
        <w:tblW w:w="11270" w:type="dxa"/>
        <w:jc w:val="left"/>
        <w:tblInd w:w="0" w:type="dxa"/>
        <w:tblLayout w:type="fixed"/>
        <w:tblCellMar>
          <w:top w:w="0" w:type="dxa"/>
          <w:left w:w="0" w:type="dxa"/>
          <w:bottom w:w="0" w:type="dxa"/>
          <w:right w:w="0" w:type="dxa"/>
        </w:tblCellMar>
      </w:tblPr>
      <w:tblGrid>
        <w:gridCol w:w="1160"/>
        <w:gridCol w:w="60"/>
        <w:gridCol w:w="60"/>
        <w:gridCol w:w="950"/>
        <w:gridCol w:w="60"/>
        <w:gridCol w:w="60"/>
        <w:gridCol w:w="125"/>
        <w:gridCol w:w="695"/>
        <w:gridCol w:w="120"/>
        <w:gridCol w:w="120"/>
        <w:gridCol w:w="60"/>
        <w:gridCol w:w="950"/>
        <w:gridCol w:w="60"/>
        <w:gridCol w:w="60"/>
        <w:gridCol w:w="225"/>
        <w:gridCol w:w="470"/>
        <w:gridCol w:w="120"/>
        <w:gridCol w:w="120"/>
        <w:gridCol w:w="188"/>
        <w:gridCol w:w="732"/>
        <w:gridCol w:w="120"/>
        <w:gridCol w:w="120"/>
        <w:gridCol w:w="426"/>
        <w:gridCol w:w="1349"/>
        <w:gridCol w:w="120"/>
        <w:gridCol w:w="120"/>
        <w:gridCol w:w="160"/>
        <w:gridCol w:w="970"/>
        <w:gridCol w:w="120"/>
        <w:gridCol w:w="120"/>
        <w:gridCol w:w="158"/>
        <w:gridCol w:w="957"/>
        <w:gridCol w:w="135"/>
      </w:tblGrid>
      <w:tr>
        <w:trPr/>
        <w:tc>
          <w:tcPr>
            <w:tcW w:w="116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center"/>
              <w:rPr/>
            </w:pPr>
            <w:r>
              <w:rPr/>
              <w:t> </w:t>
            </w:r>
          </w:p>
        </w:tc>
        <w:tc>
          <w:tcPr>
            <w:tcW w:w="1950" w:type="dxa"/>
            <w:gridSpan w:val="6"/>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Redeemable convertible</w:t>
            </w:r>
          </w:p>
          <w:p>
            <w:pPr>
              <w:pStyle w:val="TableContents"/>
              <w:bidi w:val="0"/>
              <w:spacing w:before="0" w:after="0"/>
              <w:jc w:val="center"/>
              <w:rPr>
                <w:b/>
                <w:color w:val="000000"/>
                <w:sz w:val="20"/>
              </w:rPr>
            </w:pPr>
            <w:r>
              <w:rPr>
                <w:b/>
                <w:color w:val="000000"/>
                <w:sz w:val="20"/>
              </w:rPr>
              <w:t>preferred stock</w:t>
            </w:r>
          </w:p>
        </w:tc>
        <w:tc>
          <w:tcPr>
            <w:tcW w:w="120" w:type="dxa"/>
            <w:vMerge w:val="restart"/>
            <w:tcBorders>
              <w:right w:val="single" w:sz="2" w:space="0" w:color="000000"/>
            </w:tcBorders>
            <w:tcMar>
              <w:right w:w="28" w:type="dxa"/>
            </w:tcMar>
            <w:vAlign w:val="center"/>
          </w:tcPr>
          <w:p>
            <w:pPr>
              <w:pStyle w:val="TableContents"/>
              <w:bidi w:val="0"/>
              <w:spacing w:before="0" w:after="283"/>
              <w:jc w:val="center"/>
              <w:rPr/>
            </w:pPr>
            <w:r>
              <w:rPr/>
              <w:t>  </w:t>
            </w:r>
          </w:p>
        </w:tc>
        <w:tc>
          <w:tcPr>
            <w:tcW w:w="120" w:type="dxa"/>
            <w:vMerge w:val="restart"/>
            <w:tcBorders/>
            <w:vAlign w:val="center"/>
          </w:tcPr>
          <w:p>
            <w:pPr>
              <w:pStyle w:val="TableContents"/>
              <w:bidi w:val="0"/>
              <w:spacing w:before="0" w:after="283"/>
              <w:jc w:val="center"/>
              <w:rPr/>
            </w:pPr>
            <w:r>
              <w:rPr/>
              <w:t>  </w:t>
            </w:r>
          </w:p>
        </w:tc>
        <w:tc>
          <w:tcPr>
            <w:tcW w:w="1825" w:type="dxa"/>
            <w:gridSpan w:val="6"/>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Common Stock</w:t>
            </w:r>
          </w:p>
        </w:tc>
        <w:tc>
          <w:tcPr>
            <w:tcW w:w="120" w:type="dxa"/>
            <w:vMerge w:val="restart"/>
            <w:tcBorders/>
            <w:vAlign w:val="center"/>
          </w:tcPr>
          <w:p>
            <w:pPr>
              <w:pStyle w:val="TableContents"/>
              <w:bidi w:val="0"/>
              <w:spacing w:before="0" w:after="283"/>
              <w:jc w:val="center"/>
              <w:rPr/>
            </w:pPr>
            <w:r>
              <w:rPr/>
              <w:t>  </w:t>
            </w:r>
          </w:p>
        </w:tc>
        <w:tc>
          <w:tcPr>
            <w:tcW w:w="120" w:type="dxa"/>
            <w:vMerge w:val="restart"/>
            <w:tcBorders/>
            <w:vAlign w:val="center"/>
          </w:tcPr>
          <w:p>
            <w:pPr>
              <w:pStyle w:val="TableContents"/>
              <w:bidi w:val="0"/>
              <w:spacing w:before="0" w:after="283"/>
              <w:jc w:val="center"/>
              <w:rPr/>
            </w:pPr>
            <w:r>
              <w:rPr/>
              <w:t>  </w:t>
            </w:r>
          </w:p>
        </w:tc>
        <w:tc>
          <w:tcPr>
            <w:tcW w:w="920" w:type="dxa"/>
            <w:gridSpan w:val="2"/>
            <w:vMerge w:val="restart"/>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Additional</w:t>
            </w:r>
          </w:p>
          <w:p>
            <w:pPr>
              <w:pStyle w:val="TableContents"/>
              <w:bidi w:val="0"/>
              <w:spacing w:before="0" w:after="0"/>
              <w:jc w:val="center"/>
              <w:rPr>
                <w:b/>
                <w:color w:val="000000"/>
                <w:sz w:val="20"/>
              </w:rPr>
            </w:pPr>
            <w:r>
              <w:rPr>
                <w:b/>
                <w:color w:val="000000"/>
                <w:sz w:val="20"/>
              </w:rPr>
              <w:t>Paid-in</w:t>
            </w:r>
          </w:p>
          <w:p>
            <w:pPr>
              <w:pStyle w:val="TableContents"/>
              <w:bidi w:val="0"/>
              <w:spacing w:before="0" w:after="0"/>
              <w:jc w:val="center"/>
              <w:rPr>
                <w:b/>
                <w:color w:val="000000"/>
                <w:sz w:val="20"/>
              </w:rPr>
            </w:pPr>
            <w:r>
              <w:rPr>
                <w:b/>
                <w:color w:val="000000"/>
                <w:sz w:val="20"/>
              </w:rPr>
              <w:t>Capital</w:t>
            </w:r>
          </w:p>
        </w:tc>
        <w:tc>
          <w:tcPr>
            <w:tcW w:w="120" w:type="dxa"/>
            <w:vMerge w:val="restart"/>
            <w:tcBorders/>
            <w:vAlign w:val="center"/>
          </w:tcPr>
          <w:p>
            <w:pPr>
              <w:pStyle w:val="TableContents"/>
              <w:bidi w:val="0"/>
              <w:spacing w:before="0" w:after="283"/>
              <w:jc w:val="center"/>
              <w:rPr/>
            </w:pPr>
            <w:r>
              <w:rPr/>
              <w:t>  </w:t>
            </w:r>
          </w:p>
        </w:tc>
        <w:tc>
          <w:tcPr>
            <w:tcW w:w="120" w:type="dxa"/>
            <w:vMerge w:val="restart"/>
            <w:tcBorders/>
            <w:vAlign w:val="center"/>
          </w:tcPr>
          <w:p>
            <w:pPr>
              <w:pStyle w:val="TableContents"/>
              <w:bidi w:val="0"/>
              <w:spacing w:before="0" w:after="283"/>
              <w:jc w:val="center"/>
              <w:rPr/>
            </w:pPr>
            <w:r>
              <w:rPr/>
              <w:t>  </w:t>
            </w:r>
          </w:p>
        </w:tc>
        <w:tc>
          <w:tcPr>
            <w:tcW w:w="1775" w:type="dxa"/>
            <w:gridSpan w:val="2"/>
            <w:vMerge w:val="restart"/>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Accumulated Other</w:t>
            </w:r>
          </w:p>
          <w:p>
            <w:pPr>
              <w:pStyle w:val="TableContents"/>
              <w:bidi w:val="0"/>
              <w:spacing w:before="0" w:after="0"/>
              <w:jc w:val="center"/>
              <w:rPr>
                <w:b/>
                <w:color w:val="000000"/>
                <w:sz w:val="20"/>
              </w:rPr>
            </w:pPr>
            <w:r>
              <w:rPr>
                <w:b/>
                <w:color w:val="000000"/>
                <w:sz w:val="20"/>
              </w:rPr>
              <w:t>Comprehensive Loss</w:t>
            </w:r>
          </w:p>
        </w:tc>
        <w:tc>
          <w:tcPr>
            <w:tcW w:w="120" w:type="dxa"/>
            <w:vMerge w:val="restart"/>
            <w:tcBorders/>
            <w:vAlign w:val="center"/>
          </w:tcPr>
          <w:p>
            <w:pPr>
              <w:pStyle w:val="TableContents"/>
              <w:bidi w:val="0"/>
              <w:spacing w:before="0" w:after="283"/>
              <w:jc w:val="center"/>
              <w:rPr/>
            </w:pPr>
            <w:r>
              <w:rPr/>
              <w:t>  </w:t>
            </w:r>
          </w:p>
        </w:tc>
        <w:tc>
          <w:tcPr>
            <w:tcW w:w="120" w:type="dxa"/>
            <w:vMerge w:val="restart"/>
            <w:tcBorders/>
            <w:vAlign w:val="center"/>
          </w:tcPr>
          <w:p>
            <w:pPr>
              <w:pStyle w:val="TableContents"/>
              <w:bidi w:val="0"/>
              <w:spacing w:before="0" w:after="283"/>
              <w:jc w:val="center"/>
              <w:rPr/>
            </w:pPr>
            <w:r>
              <w:rPr/>
              <w:t>  </w:t>
            </w:r>
          </w:p>
        </w:tc>
        <w:tc>
          <w:tcPr>
            <w:tcW w:w="1130" w:type="dxa"/>
            <w:gridSpan w:val="2"/>
            <w:vMerge w:val="restart"/>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Accumulated</w:t>
            </w:r>
          </w:p>
          <w:p>
            <w:pPr>
              <w:pStyle w:val="TableContents"/>
              <w:bidi w:val="0"/>
              <w:spacing w:before="0" w:after="0"/>
              <w:jc w:val="center"/>
              <w:rPr>
                <w:b/>
                <w:color w:val="000000"/>
                <w:sz w:val="20"/>
              </w:rPr>
            </w:pPr>
            <w:r>
              <w:rPr>
                <w:b/>
                <w:color w:val="000000"/>
                <w:sz w:val="20"/>
              </w:rPr>
              <w:t>Deficit</w:t>
            </w:r>
          </w:p>
        </w:tc>
        <w:tc>
          <w:tcPr>
            <w:tcW w:w="120" w:type="dxa"/>
            <w:vMerge w:val="restart"/>
            <w:tcBorders/>
            <w:vAlign w:val="center"/>
          </w:tcPr>
          <w:p>
            <w:pPr>
              <w:pStyle w:val="TableContents"/>
              <w:bidi w:val="0"/>
              <w:spacing w:before="0" w:after="283"/>
              <w:jc w:val="center"/>
              <w:rPr/>
            </w:pPr>
            <w:r>
              <w:rPr/>
              <w:t>  </w:t>
            </w:r>
          </w:p>
        </w:tc>
        <w:tc>
          <w:tcPr>
            <w:tcW w:w="120" w:type="dxa"/>
            <w:vMerge w:val="restart"/>
            <w:tcBorders/>
            <w:vAlign w:val="center"/>
          </w:tcPr>
          <w:p>
            <w:pPr>
              <w:pStyle w:val="TableContents"/>
              <w:bidi w:val="0"/>
              <w:spacing w:before="0" w:after="283"/>
              <w:jc w:val="center"/>
              <w:rPr/>
            </w:pPr>
            <w:r>
              <w:rPr/>
              <w:t>  </w:t>
            </w:r>
          </w:p>
        </w:tc>
        <w:tc>
          <w:tcPr>
            <w:tcW w:w="1115" w:type="dxa"/>
            <w:gridSpan w:val="2"/>
            <w:vMerge w:val="restart"/>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Total</w:t>
            </w:r>
          </w:p>
          <w:p>
            <w:pPr>
              <w:pStyle w:val="TableContents"/>
              <w:bidi w:val="0"/>
              <w:spacing w:before="0" w:after="0"/>
              <w:jc w:val="center"/>
              <w:rPr>
                <w:b/>
                <w:color w:val="000000"/>
                <w:sz w:val="20"/>
              </w:rPr>
            </w:pPr>
            <w:r>
              <w:rPr>
                <w:b/>
                <w:color w:val="000000"/>
                <w:sz w:val="20"/>
              </w:rPr>
              <w:t>Stockholders’</w:t>
            </w:r>
          </w:p>
          <w:p>
            <w:pPr>
              <w:pStyle w:val="TableContents"/>
              <w:bidi w:val="0"/>
              <w:spacing w:before="0" w:after="0"/>
              <w:jc w:val="center"/>
              <w:rPr>
                <w:b/>
                <w:color w:val="000000"/>
                <w:sz w:val="20"/>
              </w:rPr>
            </w:pPr>
            <w:r>
              <w:rPr>
                <w:b/>
                <w:color w:val="000000"/>
                <w:sz w:val="20"/>
              </w:rPr>
              <w:t>Deficit</w:t>
            </w:r>
          </w:p>
        </w:tc>
        <w:tc>
          <w:tcPr>
            <w:tcW w:w="135" w:type="dxa"/>
            <w:vMerge w:val="restart"/>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Amount</w:t>
            </w:r>
          </w:p>
        </w:tc>
        <w:tc>
          <w:tcPr>
            <w:tcW w:w="120" w:type="dxa"/>
            <w:vMerge w:val="continue"/>
            <w:tcBorders>
              <w:right w:val="single" w:sz="2" w:space="0" w:color="000000"/>
            </w:tcBorders>
            <w:tcMar>
              <w:right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Amount</w:t>
            </w:r>
          </w:p>
        </w:tc>
        <w:tc>
          <w:tcPr>
            <w:tcW w:w="12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920" w:type="dxa"/>
            <w:gridSpan w:val="2"/>
            <w:vMerge w:val="continue"/>
            <w:tcBorders>
              <w:bottom w:val="single" w:sz="12"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20" w:type="dxa"/>
            <w:vMerge w:val="continue"/>
            <w:tcBorders>
              <w:bottom w:val="single" w:sz="12" w:space="0" w:color="000000"/>
            </w:tcBorders>
            <w:tcMar>
              <w:bottom w:w="28" w:type="dxa"/>
            </w:tcMar>
            <w:vAlign w:val="center"/>
          </w:tcPr>
          <w:p>
            <w:pPr>
              <w:pStyle w:val="Normal"/>
              <w:bidi w:val="0"/>
              <w:jc w:val="left"/>
              <w:rPr/>
            </w:pPr>
            <w:r>
              <w:rPr/>
            </w:r>
          </w:p>
        </w:tc>
        <w:tc>
          <w:tcPr>
            <w:tcW w:w="1775" w:type="dxa"/>
            <w:gridSpan w:val="2"/>
            <w:vMerge w:val="continue"/>
            <w:tcBorders/>
            <w:vAlign w:val="center"/>
          </w:tcPr>
          <w:p>
            <w:pPr>
              <w:pStyle w:val="Normal"/>
              <w:bidi w:val="0"/>
              <w:jc w:val="left"/>
              <w:rPr/>
            </w:pPr>
            <w:r>
              <w:rPr/>
            </w:r>
          </w:p>
        </w:tc>
        <w:tc>
          <w:tcPr>
            <w:tcW w:w="120" w:type="dxa"/>
            <w:vMerge w:val="continue"/>
            <w:tcBorders>
              <w:bottom w:val="single" w:sz="12"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130" w:type="dxa"/>
            <w:gridSpan w:val="2"/>
            <w:vMerge w:val="continue"/>
            <w:tcBorders/>
            <w:vAlign w:val="center"/>
          </w:tcPr>
          <w:p>
            <w:pPr>
              <w:pStyle w:val="Normal"/>
              <w:bidi w:val="0"/>
              <w:jc w:val="left"/>
              <w:rPr/>
            </w:pPr>
            <w:r>
              <w:rPr/>
            </w:r>
          </w:p>
        </w:tc>
        <w:tc>
          <w:tcPr>
            <w:tcW w:w="120" w:type="dxa"/>
            <w:vMerge w:val="continue"/>
            <w:tcBorders/>
            <w:vAlign w:val="bottom"/>
          </w:tcPr>
          <w:p>
            <w:pPr>
              <w:pStyle w:val="Normal"/>
              <w:bidi w:val="0"/>
              <w:jc w:val="left"/>
              <w:rPr/>
            </w:pPr>
            <w:r>
              <w:rPr/>
            </w:r>
          </w:p>
        </w:tc>
        <w:tc>
          <w:tcPr>
            <w:tcW w:w="120" w:type="dxa"/>
            <w:vMerge w:val="continue"/>
            <w:tcBorders/>
            <w:vAlign w:val="center"/>
          </w:tcPr>
          <w:p>
            <w:pPr>
              <w:pStyle w:val="Normal"/>
              <w:bidi w:val="0"/>
              <w:jc w:val="left"/>
              <w:rPr/>
            </w:pPr>
            <w:r>
              <w:rPr/>
            </w:r>
          </w:p>
        </w:tc>
        <w:tc>
          <w:tcPr>
            <w:tcW w:w="1115" w:type="dxa"/>
            <w:gridSpan w:val="2"/>
            <w:vMerge w:val="continue"/>
            <w:tcBorders>
              <w:bottom w:val="single" w:sz="12" w:space="0" w:color="000000"/>
            </w:tcBorders>
            <w:tcMar>
              <w:bottom w:w="28" w:type="dxa"/>
            </w:tcMar>
            <w:vAlign w:val="center"/>
          </w:tcPr>
          <w:p>
            <w:pPr>
              <w:pStyle w:val="Normal"/>
              <w:bidi w:val="0"/>
              <w:jc w:val="left"/>
              <w:rPr/>
            </w:pPr>
            <w:r>
              <w:rPr/>
            </w:r>
          </w:p>
        </w:tc>
        <w:tc>
          <w:tcPr>
            <w:tcW w:w="135" w:type="dxa"/>
            <w:vMerge w:val="continue"/>
            <w:tcBorders/>
            <w:vAlign w:val="bottom"/>
          </w:tcPr>
          <w:p>
            <w:pPr>
              <w:pStyle w:val="Normal"/>
              <w:bidi w:val="0"/>
              <w:jc w:val="left"/>
              <w:rPr/>
            </w:pPr>
            <w:r>
              <w:rPr/>
            </w:r>
          </w:p>
        </w:tc>
      </w:tr>
      <w:tr>
        <w:trPr/>
        <w:tc>
          <w:tcPr>
            <w:tcW w:w="1160" w:type="dxa"/>
            <w:tcBorders/>
            <w:shd w:fill="CCEEFF" w:val="clear"/>
            <w:vAlign w:val="bottom"/>
          </w:tcPr>
          <w:p>
            <w:pPr>
              <w:pStyle w:val="TableContents"/>
              <w:bidi w:val="0"/>
              <w:spacing w:before="0" w:after="0"/>
              <w:ind w:left="180" w:right="0" w:hanging="180"/>
              <w:jc w:val="left"/>
              <w:rPr>
                <w:b/>
                <w:color w:val="000000"/>
                <w:sz w:val="20"/>
              </w:rPr>
            </w:pPr>
            <w:r>
              <w:rPr>
                <w:b/>
                <w:color w:val="000000"/>
                <w:sz w:val="20"/>
              </w:rPr>
              <w:t>Balance, January 1, 2025</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57,821,355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color w:val="000000"/>
                <w:sz w:val="20"/>
              </w:rPr>
            </w:pPr>
            <w:r>
              <w:rPr>
                <w:color w:val="000000"/>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158,666</w:t>
            </w:r>
          </w:p>
        </w:tc>
        <w:tc>
          <w:tcPr>
            <w:tcW w:w="12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10,023,615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0"/>
              <w:jc w:val="left"/>
              <w:rPr>
                <w:color w:val="000000"/>
                <w:sz w:val="20"/>
              </w:rPr>
            </w:pPr>
            <w:r>
              <w:rPr>
                <w:color w:val="000000"/>
                <w:sz w:val="20"/>
              </w:rPr>
              <w:t>$</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1</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88" w:type="dxa"/>
            <w:tcBorders>
              <w:bottom w:val="single" w:sz="12" w:space="0" w:color="000000"/>
            </w:tcBorders>
            <w:shd w:fill="CCEEFF" w:val="clear"/>
            <w:tcMar>
              <w:bottom w:w="28" w:type="dxa"/>
            </w:tcMar>
            <w:vAlign w:val="bottom"/>
          </w:tcPr>
          <w:p>
            <w:pPr>
              <w:pStyle w:val="TableContents"/>
              <w:bidi w:val="0"/>
              <w:spacing w:before="0" w:after="0"/>
              <w:jc w:val="left"/>
              <w:rPr>
                <w:color w:val="000000"/>
                <w:sz w:val="20"/>
              </w:rPr>
            </w:pPr>
            <w:r>
              <w:rPr>
                <w:color w:val="000000"/>
                <w:sz w:val="20"/>
              </w:rPr>
              <w:t>$</w:t>
            </w:r>
          </w:p>
        </w:tc>
        <w:tc>
          <w:tcPr>
            <w:tcW w:w="732"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4,190</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426" w:type="dxa"/>
            <w:tcBorders>
              <w:bottom w:val="single" w:sz="12" w:space="0" w:color="000000"/>
            </w:tcBorders>
            <w:shd w:fill="CCEEFF" w:val="clear"/>
            <w:tcMar>
              <w:bottom w:w="28" w:type="dxa"/>
            </w:tcMar>
            <w:vAlign w:val="bottom"/>
          </w:tcPr>
          <w:p>
            <w:pPr>
              <w:pStyle w:val="TableContents"/>
              <w:bidi w:val="0"/>
              <w:spacing w:before="0" w:after="0"/>
              <w:jc w:val="left"/>
              <w:rPr>
                <w:color w:val="000000"/>
                <w:sz w:val="20"/>
              </w:rPr>
            </w:pPr>
            <w:r>
              <w:rPr>
                <w:color w:val="000000"/>
                <w:sz w:val="20"/>
              </w:rPr>
              <w:t>$</w:t>
            </w:r>
          </w:p>
        </w:tc>
        <w:tc>
          <w:tcPr>
            <w:tcW w:w="1349"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(785</w:t>
            </w:r>
          </w:p>
        </w:tc>
        <w:tc>
          <w:tcPr>
            <w:tcW w:w="120" w:type="dxa"/>
            <w:tcBorders/>
            <w:shd w:fill="CCEEFF" w:val="clear"/>
            <w:vAlign w:val="bottom"/>
          </w:tcPr>
          <w:p>
            <w:pPr>
              <w:pStyle w:val="TableContents"/>
              <w:bidi w:val="0"/>
              <w:spacing w:before="0" w:after="0"/>
              <w:jc w:val="left"/>
              <w:rPr>
                <w:color w:val="000000"/>
                <w:sz w:val="20"/>
              </w:rPr>
            </w:pPr>
            <w:r>
              <w:rPr>
                <w:color w:val="000000"/>
                <w:sz w:val="20"/>
              </w:rPr>
              <w:t>)</w:t>
            </w:r>
          </w:p>
        </w:tc>
        <w:tc>
          <w:tcPr>
            <w:tcW w:w="12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0"/>
              <w:jc w:val="left"/>
              <w:rPr>
                <w:color w:val="000000"/>
                <w:sz w:val="20"/>
              </w:rPr>
            </w:pPr>
            <w:r>
              <w:rPr>
                <w:color w:val="000000"/>
                <w:sz w:val="20"/>
              </w:rPr>
              <w:t>$</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(106,573</w:t>
            </w:r>
          </w:p>
        </w:tc>
        <w:tc>
          <w:tcPr>
            <w:tcW w:w="120" w:type="dxa"/>
            <w:tcBorders/>
            <w:shd w:fill="CCEEFF" w:val="clear"/>
            <w:vAlign w:val="bottom"/>
          </w:tcPr>
          <w:p>
            <w:pPr>
              <w:pStyle w:val="TableContents"/>
              <w:bidi w:val="0"/>
              <w:spacing w:before="0" w:after="0"/>
              <w:jc w:val="left"/>
              <w:rPr>
                <w:color w:val="000000"/>
                <w:sz w:val="20"/>
              </w:rPr>
            </w:pPr>
            <w:r>
              <w:rPr>
                <w:color w:val="000000"/>
                <w:sz w:val="20"/>
              </w:rPr>
              <w:t>)</w:t>
            </w:r>
          </w:p>
        </w:tc>
        <w:tc>
          <w:tcPr>
            <w:tcW w:w="12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0"/>
              <w:jc w:val="left"/>
              <w:rPr>
                <w:color w:val="000000"/>
                <w:sz w:val="20"/>
              </w:rPr>
            </w:pPr>
            <w:r>
              <w:rPr>
                <w:color w:val="000000"/>
                <w:sz w:val="20"/>
              </w:rPr>
              <w:t>$</w:t>
            </w:r>
          </w:p>
        </w:tc>
        <w:tc>
          <w:tcPr>
            <w:tcW w:w="957"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(103,167</w:t>
            </w:r>
          </w:p>
        </w:tc>
        <w:tc>
          <w:tcPr>
            <w:tcW w:w="135" w:type="dxa"/>
            <w:tcBorders/>
            <w:shd w:fill="CCEEFF" w:val="clear"/>
            <w:vAlign w:val="bottom"/>
          </w:tcPr>
          <w:p>
            <w:pPr>
              <w:pStyle w:val="TableContents"/>
              <w:bidi w:val="0"/>
              <w:spacing w:before="0" w:after="0"/>
              <w:jc w:val="left"/>
              <w:rPr>
                <w:color w:val="000000"/>
                <w:sz w:val="20"/>
              </w:rPr>
            </w:pPr>
            <w:r>
              <w:rPr>
                <w:color w:val="000000"/>
                <w:sz w:val="20"/>
              </w:rPr>
              <w:t>)</w:t>
            </w:r>
          </w:p>
        </w:tc>
      </w:tr>
      <w:tr>
        <w:trPr/>
        <w:tc>
          <w:tcPr>
            <w:tcW w:w="1160" w:type="dxa"/>
            <w:tcBorders/>
            <w:vAlign w:val="bottom"/>
          </w:tcPr>
          <w:p>
            <w:pPr>
              <w:pStyle w:val="TableContents"/>
              <w:bidi w:val="0"/>
              <w:spacing w:before="0" w:after="0"/>
              <w:ind w:left="360" w:right="0" w:hanging="180"/>
              <w:jc w:val="left"/>
              <w:rPr>
                <w:color w:val="000000"/>
                <w:sz w:val="20"/>
              </w:rPr>
            </w:pPr>
            <w:r>
              <w:rPr>
                <w:color w:val="000000"/>
                <w:sz w:val="20"/>
              </w:rPr>
              <w:t>Stock-based compensation expense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120" w:type="dxa"/>
            <w:tcBorders>
              <w:right w:val="single" w:sz="2" w:space="0" w:color="000000"/>
            </w:tcBorders>
            <w:tcMar>
              <w:right w:w="28" w:type="dxa"/>
            </w:tcMar>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right"/>
              <w:rPr/>
            </w:pPr>
            <w:r>
              <w:rPr/>
              <w:t> </w:t>
            </w:r>
          </w:p>
        </w:tc>
        <w:tc>
          <w:tcPr>
            <w:tcW w:w="18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0"/>
              <w:jc w:val="right"/>
              <w:rPr>
                <w:color w:val="000000"/>
                <w:sz w:val="20"/>
              </w:rPr>
            </w:pPr>
            <w:r>
              <w:rPr>
                <w:color w:val="000000"/>
                <w:sz w:val="20"/>
              </w:rPr>
              <w:t>937</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right"/>
              <w:rPr/>
            </w:pPr>
            <w:r>
              <w:rPr/>
              <w:t> </w:t>
            </w:r>
          </w:p>
        </w:tc>
        <w:tc>
          <w:tcPr>
            <w:tcW w:w="42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color w:val="000000"/>
                <w:sz w:val="20"/>
              </w:rPr>
            </w:pPr>
            <w:r>
              <w:rPr>
                <w:color w:val="000000"/>
                <w:sz w:val="20"/>
              </w:rPr>
              <w:t>937</w:t>
            </w:r>
          </w:p>
        </w:tc>
        <w:tc>
          <w:tcPr>
            <w:tcW w:w="13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Accretion of redeemable convertible preferred stock</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sz w:val="20"/>
              </w:rPr>
            </w:pPr>
            <w:r>
              <w:rPr>
                <w:color w:val="000000"/>
                <w:sz w:val="20"/>
              </w:rPr>
              <w:t>14,801</w:t>
            </w:r>
          </w:p>
        </w:tc>
        <w:tc>
          <w:tcPr>
            <w:tcW w:w="12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42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color w:val="000000"/>
                <w:sz w:val="20"/>
              </w:rPr>
            </w:pPr>
            <w:r>
              <w:rPr>
                <w:color w:val="000000"/>
                <w:sz w:val="20"/>
              </w:rPr>
              <w:t>(14,801</w:t>
            </w:r>
          </w:p>
        </w:tc>
        <w:tc>
          <w:tcPr>
            <w:tcW w:w="120" w:type="dxa"/>
            <w:tcBorders/>
            <w:shd w:fill="CCEEFF" w:val="clear"/>
            <w:vAlign w:val="bottom"/>
          </w:tcPr>
          <w:p>
            <w:pPr>
              <w:pStyle w:val="TableContents"/>
              <w:bidi w:val="0"/>
              <w:spacing w:before="0" w:after="0"/>
              <w:jc w:val="left"/>
              <w:rPr>
                <w:color w:val="000000"/>
                <w:sz w:val="20"/>
              </w:rPr>
            </w:pPr>
            <w:r>
              <w:rPr>
                <w:color w:val="000000"/>
                <w:sz w:val="20"/>
              </w:rPr>
              <w:t>)</w:t>
            </w:r>
          </w:p>
        </w:tc>
        <w:tc>
          <w:tcPr>
            <w:tcW w:w="12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0"/>
              <w:jc w:val="right"/>
              <w:rPr>
                <w:color w:val="000000"/>
                <w:sz w:val="20"/>
              </w:rPr>
            </w:pPr>
            <w:r>
              <w:rPr>
                <w:color w:val="000000"/>
                <w:sz w:val="20"/>
              </w:rPr>
              <w:t>(14,801</w:t>
            </w:r>
          </w:p>
        </w:tc>
        <w:tc>
          <w:tcPr>
            <w:tcW w:w="135" w:type="dxa"/>
            <w:tcBorders/>
            <w:shd w:fill="CCEEFF" w:val="clear"/>
            <w:vAlign w:val="bottom"/>
          </w:tcPr>
          <w:p>
            <w:pPr>
              <w:pStyle w:val="TableContents"/>
              <w:bidi w:val="0"/>
              <w:spacing w:before="0" w:after="0"/>
              <w:jc w:val="left"/>
              <w:rPr>
                <w:color w:val="000000"/>
                <w:sz w:val="20"/>
              </w:rPr>
            </w:pPr>
            <w:r>
              <w:rPr>
                <w:color w:val="000000"/>
                <w:sz w:val="20"/>
              </w:rPr>
              <w:t>)</w:t>
            </w:r>
          </w:p>
        </w:tc>
      </w:tr>
      <w:tr>
        <w:trPr/>
        <w:tc>
          <w:tcPr>
            <w:tcW w:w="1160" w:type="dxa"/>
            <w:tcBorders/>
            <w:vAlign w:val="bottom"/>
          </w:tcPr>
          <w:p>
            <w:pPr>
              <w:pStyle w:val="TableContents"/>
              <w:bidi w:val="0"/>
              <w:spacing w:before="0" w:after="0"/>
              <w:ind w:left="360" w:right="0" w:hanging="180"/>
              <w:jc w:val="left"/>
              <w:rPr>
                <w:color w:val="000000"/>
                <w:sz w:val="20"/>
              </w:rPr>
            </w:pPr>
            <w:r>
              <w:rPr>
                <w:color w:val="000000"/>
                <w:sz w:val="20"/>
              </w:rPr>
              <w:t>Unrealized gains on short-term investments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120" w:type="dxa"/>
            <w:tcBorders>
              <w:right w:val="single" w:sz="2" w:space="0" w:color="000000"/>
            </w:tcBorders>
            <w:tcMar>
              <w:right w:w="28" w:type="dxa"/>
            </w:tcMar>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right"/>
              <w:rPr/>
            </w:pPr>
            <w:r>
              <w:rPr/>
              <w:t> </w:t>
            </w:r>
          </w:p>
        </w:tc>
        <w:tc>
          <w:tcPr>
            <w:tcW w:w="18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right"/>
              <w:rPr/>
            </w:pPr>
            <w:r>
              <w:rPr/>
              <w:t> </w:t>
            </w:r>
          </w:p>
        </w:tc>
        <w:tc>
          <w:tcPr>
            <w:tcW w:w="42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sz w:val="20"/>
              </w:rPr>
            </w:pPr>
            <w:r>
              <w:rPr>
                <w:color w:val="000000"/>
                <w:sz w:val="20"/>
              </w:rPr>
              <w:t>23</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color w:val="000000"/>
                <w:sz w:val="20"/>
              </w:rPr>
            </w:pPr>
            <w:r>
              <w:rPr>
                <w:color w:val="000000"/>
                <w:sz w:val="20"/>
              </w:rPr>
              <w:t>23</w:t>
            </w:r>
          </w:p>
        </w:tc>
        <w:tc>
          <w:tcPr>
            <w:tcW w:w="13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Reclassification adjustment for gains included in net loss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42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sz w:val="20"/>
              </w:rPr>
            </w:pPr>
            <w:r>
              <w:rPr>
                <w:color w:val="000000"/>
                <w:sz w:val="20"/>
              </w:rPr>
              <w:t>(10</w:t>
            </w:r>
          </w:p>
        </w:tc>
        <w:tc>
          <w:tcPr>
            <w:tcW w:w="120" w:type="dxa"/>
            <w:tcBorders/>
            <w:shd w:fill="CCEEFF" w:val="clear"/>
            <w:vAlign w:val="bottom"/>
          </w:tcPr>
          <w:p>
            <w:pPr>
              <w:pStyle w:val="TableContents"/>
              <w:bidi w:val="0"/>
              <w:spacing w:before="0" w:after="0"/>
              <w:jc w:val="left"/>
              <w:rPr>
                <w:color w:val="000000"/>
                <w:sz w:val="20"/>
              </w:rPr>
            </w:pPr>
            <w:r>
              <w:rPr>
                <w:color w:val="000000"/>
                <w:sz w:val="20"/>
              </w:rPr>
              <w:t>)</w:t>
            </w:r>
          </w:p>
        </w:tc>
        <w:tc>
          <w:tcPr>
            <w:tcW w:w="12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0"/>
              <w:jc w:val="right"/>
              <w:rPr>
                <w:color w:val="000000"/>
                <w:sz w:val="20"/>
              </w:rPr>
            </w:pPr>
            <w:r>
              <w:rPr>
                <w:color w:val="000000"/>
                <w:sz w:val="20"/>
              </w:rPr>
              <w:t>(10</w:t>
            </w:r>
          </w:p>
        </w:tc>
        <w:tc>
          <w:tcPr>
            <w:tcW w:w="135" w:type="dxa"/>
            <w:tcBorders/>
            <w:shd w:fill="CCEEFF" w:val="clear"/>
            <w:vAlign w:val="bottom"/>
          </w:tcPr>
          <w:p>
            <w:pPr>
              <w:pStyle w:val="TableContents"/>
              <w:bidi w:val="0"/>
              <w:spacing w:before="0" w:after="0"/>
              <w:jc w:val="left"/>
              <w:rPr>
                <w:color w:val="000000"/>
                <w:sz w:val="20"/>
              </w:rPr>
            </w:pPr>
            <w:r>
              <w:rPr>
                <w:color w:val="000000"/>
                <w:sz w:val="20"/>
              </w:rPr>
              <w:t>)</w:t>
            </w:r>
          </w:p>
        </w:tc>
      </w:tr>
      <w:tr>
        <w:trPr/>
        <w:tc>
          <w:tcPr>
            <w:tcW w:w="1160" w:type="dxa"/>
            <w:tcBorders/>
            <w:vAlign w:val="bottom"/>
          </w:tcPr>
          <w:p>
            <w:pPr>
              <w:pStyle w:val="TableContents"/>
              <w:bidi w:val="0"/>
              <w:spacing w:before="0" w:after="0"/>
              <w:ind w:left="360" w:right="0" w:hanging="180"/>
              <w:jc w:val="left"/>
              <w:rPr>
                <w:color w:val="000000"/>
                <w:sz w:val="20"/>
              </w:rPr>
            </w:pPr>
            <w:r>
              <w:rPr>
                <w:color w:val="000000"/>
                <w:sz w:val="20"/>
              </w:rPr>
              <w:t>Foreign currency translation adjustment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120" w:type="dxa"/>
            <w:tcBorders>
              <w:right w:val="single" w:sz="2" w:space="0" w:color="000000"/>
            </w:tcBorders>
            <w:tcMar>
              <w:right w:w="28" w:type="dxa"/>
            </w:tcMar>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right"/>
              <w:rPr/>
            </w:pPr>
            <w:r>
              <w:rPr/>
              <w:t> </w:t>
            </w:r>
          </w:p>
        </w:tc>
        <w:tc>
          <w:tcPr>
            <w:tcW w:w="18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right"/>
              <w:rPr/>
            </w:pPr>
            <w:r>
              <w:rPr/>
              <w:t> </w:t>
            </w:r>
          </w:p>
        </w:tc>
        <w:tc>
          <w:tcPr>
            <w:tcW w:w="426"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sz w:val="20"/>
              </w:rPr>
            </w:pPr>
            <w:r>
              <w:rPr>
                <w:color w:val="000000"/>
                <w:sz w:val="20"/>
              </w:rPr>
              <w:t>432</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color w:val="000000"/>
                <w:sz w:val="20"/>
              </w:rPr>
            </w:pPr>
            <w:r>
              <w:rPr>
                <w:color w:val="000000"/>
                <w:sz w:val="20"/>
              </w:rPr>
              <w:t>432</w:t>
            </w:r>
          </w:p>
        </w:tc>
        <w:tc>
          <w:tcPr>
            <w:tcW w:w="135"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Net loss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4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(10,805</w:t>
            </w:r>
          </w:p>
        </w:tc>
        <w:tc>
          <w:tcPr>
            <w:tcW w:w="120" w:type="dxa"/>
            <w:tcBorders/>
            <w:shd w:fill="CCEEFF" w:val="clear"/>
            <w:vAlign w:val="bottom"/>
          </w:tcPr>
          <w:p>
            <w:pPr>
              <w:pStyle w:val="TableContents"/>
              <w:bidi w:val="0"/>
              <w:spacing w:before="0" w:after="0"/>
              <w:jc w:val="left"/>
              <w:rPr>
                <w:color w:val="000000"/>
                <w:sz w:val="20"/>
              </w:rPr>
            </w:pPr>
            <w:r>
              <w:rPr>
                <w:color w:val="000000"/>
                <w:sz w:val="20"/>
              </w:rPr>
              <w:t>)</w:t>
            </w:r>
          </w:p>
        </w:tc>
        <w:tc>
          <w:tcPr>
            <w:tcW w:w="12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7"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(10,805</w:t>
            </w:r>
          </w:p>
        </w:tc>
        <w:tc>
          <w:tcPr>
            <w:tcW w:w="135" w:type="dxa"/>
            <w:tcBorders/>
            <w:shd w:fill="CCEEFF" w:val="clear"/>
            <w:vAlign w:val="bottom"/>
          </w:tcPr>
          <w:p>
            <w:pPr>
              <w:pStyle w:val="TableContents"/>
              <w:bidi w:val="0"/>
              <w:spacing w:before="0" w:after="0"/>
              <w:jc w:val="left"/>
              <w:rPr>
                <w:color w:val="000000"/>
                <w:sz w:val="20"/>
              </w:rPr>
            </w:pPr>
            <w:r>
              <w:rPr>
                <w:color w:val="000000"/>
                <w:sz w:val="20"/>
              </w:rPr>
              <w:t>)</w:t>
            </w:r>
          </w:p>
        </w:tc>
      </w:tr>
      <w:tr>
        <w:trPr/>
        <w:tc>
          <w:tcPr>
            <w:tcW w:w="1160" w:type="dxa"/>
            <w:tcBorders/>
            <w:vAlign w:val="bottom"/>
          </w:tcPr>
          <w:p>
            <w:pPr>
              <w:pStyle w:val="TableContents"/>
              <w:bidi w:val="0"/>
              <w:spacing w:before="0" w:after="0"/>
              <w:ind w:left="180" w:right="0" w:hanging="180"/>
              <w:jc w:val="left"/>
              <w:rPr>
                <w:b/>
                <w:color w:val="000000"/>
                <w:sz w:val="20"/>
              </w:rPr>
            </w:pPr>
            <w:r>
              <w:rPr>
                <w:b/>
                <w:color w:val="000000"/>
                <w:sz w:val="20"/>
              </w:rPr>
              <w:t>Balance, December 31, 2025</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57,821,355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color w:val="000000"/>
                <w:sz w:val="20"/>
              </w:rPr>
            </w:pPr>
            <w:r>
              <w:rPr>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173,467</w:t>
            </w:r>
          </w:p>
        </w:tc>
        <w:tc>
          <w:tcPr>
            <w:tcW w:w="120" w:type="dxa"/>
            <w:tcBorders>
              <w:right w:val="single" w:sz="2" w:space="0" w:color="000000"/>
            </w:tcBorders>
            <w:tcMar>
              <w:right w:w="28" w:type="dxa"/>
            </w:tcMar>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10,023,615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double" w:sz="8" w:space="0" w:color="000000"/>
            </w:tcBorders>
            <w:tcMar>
              <w:bottom w:w="28" w:type="dxa"/>
            </w:tcMar>
            <w:vAlign w:val="bottom"/>
          </w:tcPr>
          <w:p>
            <w:pPr>
              <w:pStyle w:val="TableContents"/>
              <w:bidi w:val="0"/>
              <w:spacing w:before="0" w:after="0"/>
              <w:jc w:val="left"/>
              <w:rPr>
                <w:color w:val="000000"/>
                <w:sz w:val="20"/>
              </w:rPr>
            </w:pPr>
            <w:r>
              <w:rPr>
                <w:color w:val="000000"/>
                <w:sz w:val="20"/>
              </w:rPr>
              <w:t>$</w:t>
            </w:r>
          </w:p>
        </w:tc>
        <w:tc>
          <w:tcPr>
            <w:tcW w:w="470"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1</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right"/>
              <w:rPr/>
            </w:pPr>
            <w:r>
              <w:rPr/>
              <w:t> </w:t>
            </w:r>
          </w:p>
        </w:tc>
        <w:tc>
          <w:tcPr>
            <w:tcW w:w="188" w:type="dxa"/>
            <w:tcBorders>
              <w:bottom w:val="double" w:sz="8" w:space="0" w:color="000000"/>
            </w:tcBorders>
            <w:tcMar>
              <w:bottom w:w="28" w:type="dxa"/>
            </w:tcMar>
            <w:vAlign w:val="bottom"/>
          </w:tcPr>
          <w:p>
            <w:pPr>
              <w:pStyle w:val="TableContents"/>
              <w:bidi w:val="0"/>
              <w:spacing w:before="0" w:after="0"/>
              <w:jc w:val="left"/>
              <w:rPr>
                <w:color w:val="000000"/>
                <w:sz w:val="20"/>
              </w:rPr>
            </w:pPr>
            <w:r>
              <w:rPr>
                <w:color w:val="000000"/>
                <w:sz w:val="20"/>
              </w:rPr>
              <w:t>$</w:t>
            </w:r>
          </w:p>
        </w:tc>
        <w:tc>
          <w:tcPr>
            <w:tcW w:w="732"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5,127</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right"/>
              <w:rPr/>
            </w:pPr>
            <w:r>
              <w:rPr/>
              <w:t> </w:t>
            </w:r>
          </w:p>
        </w:tc>
        <w:tc>
          <w:tcPr>
            <w:tcW w:w="426" w:type="dxa"/>
            <w:tcBorders>
              <w:bottom w:val="double" w:sz="8" w:space="0" w:color="000000"/>
            </w:tcBorders>
            <w:tcMar>
              <w:bottom w:w="28" w:type="dxa"/>
            </w:tcMar>
            <w:vAlign w:val="bottom"/>
          </w:tcPr>
          <w:p>
            <w:pPr>
              <w:pStyle w:val="TableContents"/>
              <w:bidi w:val="0"/>
              <w:spacing w:before="0" w:after="0"/>
              <w:jc w:val="left"/>
              <w:rPr>
                <w:color w:val="000000"/>
                <w:sz w:val="20"/>
              </w:rPr>
            </w:pPr>
            <w:r>
              <w:rPr>
                <w:color w:val="000000"/>
                <w:sz w:val="20"/>
              </w:rPr>
              <w:t>$</w:t>
            </w:r>
          </w:p>
        </w:tc>
        <w:tc>
          <w:tcPr>
            <w:tcW w:w="1349"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(340</w:t>
            </w:r>
          </w:p>
        </w:tc>
        <w:tc>
          <w:tcPr>
            <w:tcW w:w="120" w:type="dxa"/>
            <w:tcBorders/>
            <w:vAlign w:val="bottom"/>
          </w:tcPr>
          <w:p>
            <w:pPr>
              <w:pStyle w:val="TableContents"/>
              <w:bidi w:val="0"/>
              <w:spacing w:before="0" w:after="0"/>
              <w:jc w:val="left"/>
              <w:rPr>
                <w:color w:val="000000"/>
                <w:sz w:val="20"/>
              </w:rPr>
            </w:pPr>
            <w:r>
              <w:rPr>
                <w:color w:val="000000"/>
                <w:sz w:val="20"/>
              </w:rPr>
              <w:t>)</w:t>
            </w:r>
          </w:p>
        </w:tc>
        <w:tc>
          <w:tcPr>
            <w:tcW w:w="120" w:type="dxa"/>
            <w:tcBorders/>
            <w:vAlign w:val="bottom"/>
          </w:tcPr>
          <w:p>
            <w:pPr>
              <w:pStyle w:val="TableContents"/>
              <w:bidi w:val="0"/>
              <w:spacing w:before="0" w:after="283"/>
              <w:jc w:val="right"/>
              <w:rPr/>
            </w:pPr>
            <w:r>
              <w:rPr/>
              <w:t> </w:t>
            </w:r>
          </w:p>
        </w:tc>
        <w:tc>
          <w:tcPr>
            <w:tcW w:w="160" w:type="dxa"/>
            <w:tcBorders>
              <w:bottom w:val="double" w:sz="8" w:space="0" w:color="000000"/>
            </w:tcBorders>
            <w:tcMar>
              <w:bottom w:w="28" w:type="dxa"/>
            </w:tcMar>
            <w:vAlign w:val="bottom"/>
          </w:tcPr>
          <w:p>
            <w:pPr>
              <w:pStyle w:val="TableContents"/>
              <w:bidi w:val="0"/>
              <w:spacing w:before="0" w:after="0"/>
              <w:jc w:val="left"/>
              <w:rPr>
                <w:color w:val="000000"/>
                <w:sz w:val="20"/>
              </w:rPr>
            </w:pPr>
            <w:r>
              <w:rPr>
                <w:color w:val="000000"/>
                <w:sz w:val="20"/>
              </w:rPr>
              <w:t>$</w:t>
            </w:r>
          </w:p>
        </w:tc>
        <w:tc>
          <w:tcPr>
            <w:tcW w:w="970"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(132,179</w:t>
            </w:r>
          </w:p>
        </w:tc>
        <w:tc>
          <w:tcPr>
            <w:tcW w:w="120" w:type="dxa"/>
            <w:tcBorders/>
            <w:vAlign w:val="bottom"/>
          </w:tcPr>
          <w:p>
            <w:pPr>
              <w:pStyle w:val="TableContents"/>
              <w:bidi w:val="0"/>
              <w:spacing w:before="0" w:after="0"/>
              <w:jc w:val="left"/>
              <w:rPr>
                <w:color w:val="000000"/>
                <w:sz w:val="20"/>
              </w:rPr>
            </w:pPr>
            <w:r>
              <w:rPr>
                <w:color w:val="000000"/>
                <w:sz w:val="20"/>
              </w:rPr>
              <w:t>)</w:t>
            </w:r>
          </w:p>
        </w:tc>
        <w:tc>
          <w:tcPr>
            <w:tcW w:w="120" w:type="dxa"/>
            <w:tcBorders/>
            <w:vAlign w:val="bottom"/>
          </w:tcPr>
          <w:p>
            <w:pPr>
              <w:pStyle w:val="TableContents"/>
              <w:bidi w:val="0"/>
              <w:spacing w:before="0" w:after="283"/>
              <w:jc w:val="right"/>
              <w:rPr/>
            </w:pPr>
            <w:r>
              <w:rPr/>
              <w:t> </w:t>
            </w:r>
          </w:p>
        </w:tc>
        <w:tc>
          <w:tcPr>
            <w:tcW w:w="158" w:type="dxa"/>
            <w:tcBorders>
              <w:bottom w:val="double" w:sz="8" w:space="0" w:color="000000"/>
            </w:tcBorders>
            <w:tcMar>
              <w:bottom w:w="28" w:type="dxa"/>
            </w:tcMar>
            <w:vAlign w:val="bottom"/>
          </w:tcPr>
          <w:p>
            <w:pPr>
              <w:pStyle w:val="TableContents"/>
              <w:bidi w:val="0"/>
              <w:spacing w:before="0" w:after="0"/>
              <w:jc w:val="left"/>
              <w:rPr>
                <w:color w:val="000000"/>
                <w:sz w:val="20"/>
              </w:rPr>
            </w:pPr>
            <w:r>
              <w:rPr>
                <w:color w:val="000000"/>
                <w:sz w:val="20"/>
              </w:rPr>
              <w:t>$</w:t>
            </w:r>
          </w:p>
        </w:tc>
        <w:tc>
          <w:tcPr>
            <w:tcW w:w="957"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(127,391</w:t>
            </w:r>
          </w:p>
        </w:tc>
        <w:tc>
          <w:tcPr>
            <w:tcW w:w="135" w:type="dxa"/>
            <w:tcBorders/>
            <w:vAlign w:val="bottom"/>
          </w:tcPr>
          <w:p>
            <w:pPr>
              <w:pStyle w:val="TableContents"/>
              <w:bidi w:val="0"/>
              <w:spacing w:before="0" w:after="0"/>
              <w:jc w:val="left"/>
              <w:rPr>
                <w:color w:val="000000"/>
                <w:sz w:val="20"/>
              </w:rPr>
            </w:pPr>
            <w:r>
              <w:rPr>
                <w:color w:val="000000"/>
                <w:sz w:val="20"/>
              </w:rPr>
              <w:t>)</w:t>
            </w:r>
          </w:p>
        </w:tc>
      </w:tr>
    </w:tbl>
    <w:p>
      <w:pPr>
        <w:pStyle w:val="TextBody"/>
        <w:bidi w:val="0"/>
        <w:spacing w:before="0" w:after="0"/>
        <w:jc w:val="center"/>
        <w:rPr>
          <w:b/>
          <w:color w:val="000000"/>
          <w:sz w:val="20"/>
        </w:rPr>
      </w:pPr>
      <w:r>
        <w:rPr>
          <w:b/>
          <w:color w:val="000000"/>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The accompanying footnotes are an integral part of these consolidated financial statements.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rFonts w:ascii="Times New Roman" w:hAnsi="Times New Roman"/>
          <w:b/>
          <w:color w:val="000000"/>
          <w:sz w:val="20"/>
        </w:rPr>
      </w:pPr>
      <w:bookmarkStart w:id="57" w:name="cCSCF"/>
      <w:bookmarkEnd w:id="57"/>
      <w:r>
        <w:rPr>
          <w:rFonts w:ascii="Times New Roman" w:hAnsi="Times New Roman"/>
          <w:b/>
          <w:color w:val="000000"/>
          <w:sz w:val="20"/>
        </w:rPr>
        <w:t xml:space="preserve">Consolidated Statement of </w:t>
      </w:r>
      <w:bookmarkStart w:id="58" w:name="CashFlows"/>
      <w:bookmarkEnd w:id="58"/>
      <w:r>
        <w:rPr>
          <w:rFonts w:ascii="Times New Roman" w:hAnsi="Times New Roman"/>
          <w:b/>
          <w:color w:val="000000"/>
          <w:sz w:val="20"/>
        </w:rPr>
        <w:t>Cash Flows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0" w:after="0"/>
        <w:jc w:val="center"/>
        <w:rPr>
          <w:b/>
          <w:color w:val="000000"/>
          <w:sz w:val="20"/>
        </w:rPr>
      </w:pPr>
      <w:r>
        <w:rPr>
          <w:b/>
          <w:color w:val="000000"/>
          <w:sz w:val="20"/>
        </w:rPr>
      </w:r>
    </w:p>
    <w:p>
      <w:pPr>
        <w:pStyle w:val="Normal"/>
        <w:bidi w:val="0"/>
        <w:spacing w:before="0" w:after="0"/>
        <w:jc w:val="left"/>
        <w:rPr>
          <w:sz w:val="4"/>
          <w:szCs w:val="4"/>
        </w:rPr>
      </w:pPr>
      <w:r>
        <w:rPr>
          <w:sz w:val="4"/>
          <w:szCs w:val="4"/>
        </w:rPr>
      </w:r>
      <w:bookmarkStart w:id="59" w:name="zb4eb6f1e6e934210aa0007bf370ef396"/>
      <w:bookmarkStart w:id="60" w:name="zb4eb6f1e6e934210aa0007bf370ef396"/>
      <w:bookmarkEnd w:id="60"/>
    </w:p>
    <w:tbl>
      <w:tblPr>
        <w:tblW w:w="9450" w:type="dxa"/>
        <w:jc w:val="left"/>
        <w:tblInd w:w="0" w:type="dxa"/>
        <w:tblLayout w:type="fixed"/>
        <w:tblCellMar>
          <w:top w:w="0" w:type="dxa"/>
          <w:left w:w="0" w:type="dxa"/>
          <w:bottom w:w="0" w:type="dxa"/>
          <w:right w:w="0" w:type="dxa"/>
        </w:tblCellMar>
      </w:tblPr>
      <w:tblGrid>
        <w:gridCol w:w="7655"/>
        <w:gridCol w:w="60"/>
        <w:gridCol w:w="264"/>
        <w:gridCol w:w="1376"/>
        <w:gridCol w:w="95"/>
      </w:tblGrid>
      <w:tr>
        <w:trPr/>
        <w:tc>
          <w:tcPr>
            <w:tcW w:w="765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Year Ended</w:t>
            </w:r>
          </w:p>
          <w:p>
            <w:pPr>
              <w:pStyle w:val="TableContents"/>
              <w:bidi w:val="0"/>
              <w:spacing w:before="0" w:after="0"/>
              <w:jc w:val="center"/>
              <w:rPr>
                <w:b/>
                <w:color w:val="000000"/>
                <w:sz w:val="20"/>
              </w:rPr>
            </w:pPr>
            <w:r>
              <w:rPr>
                <w:b/>
                <w:color w:val="000000"/>
                <w:sz w:val="20"/>
              </w:rPr>
              <w:t>December 31, 2025</w:t>
            </w:r>
          </w:p>
        </w:tc>
        <w:tc>
          <w:tcPr>
            <w:tcW w:w="95" w:type="dxa"/>
            <w:tcBorders/>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0"/>
              <w:ind w:left="180" w:right="0" w:hanging="180"/>
              <w:jc w:val="left"/>
              <w:rPr>
                <w:b/>
                <w:color w:val="000000"/>
                <w:sz w:val="20"/>
              </w:rPr>
            </w:pPr>
            <w:r>
              <w:rPr>
                <w:b/>
                <w:color w:val="000000"/>
                <w:sz w:val="20"/>
              </w:rPr>
              <w:t>Cash flows from operating activities:</w:t>
            </w:r>
          </w:p>
        </w:tc>
        <w:tc>
          <w:tcPr>
            <w:tcW w:w="60"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Net loss</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0"/>
              <w:jc w:val="left"/>
              <w:rPr>
                <w:color w:val="000000"/>
                <w:sz w:val="20"/>
              </w:rPr>
            </w:pPr>
            <w:r>
              <w:rPr>
                <w:color w:val="000000"/>
                <w:sz w:val="20"/>
              </w:rPr>
              <w:t>$</w:t>
            </w:r>
          </w:p>
        </w:tc>
        <w:tc>
          <w:tcPr>
            <w:tcW w:w="1376" w:type="dxa"/>
            <w:tcBorders/>
            <w:shd w:fill="CCEEFF" w:val="clear"/>
            <w:vAlign w:val="bottom"/>
          </w:tcPr>
          <w:p>
            <w:pPr>
              <w:pStyle w:val="TableContents"/>
              <w:bidi w:val="0"/>
              <w:spacing w:before="0" w:after="0"/>
              <w:jc w:val="right"/>
              <w:rPr>
                <w:color w:val="000000"/>
                <w:sz w:val="20"/>
              </w:rPr>
            </w:pPr>
            <w:r>
              <w:rPr>
                <w:color w:val="000000"/>
                <w:sz w:val="20"/>
              </w:rPr>
              <w:t>(10,805</w:t>
            </w:r>
          </w:p>
        </w:tc>
        <w:tc>
          <w:tcPr>
            <w:tcW w:w="95" w:type="dxa"/>
            <w:tcBorders/>
            <w:shd w:fill="CCEEFF" w:val="clear"/>
            <w:vAlign w:val="bottom"/>
          </w:tcPr>
          <w:p>
            <w:pPr>
              <w:pStyle w:val="TableContents"/>
              <w:bidi w:val="0"/>
              <w:spacing w:before="0" w:after="0"/>
              <w:jc w:val="left"/>
              <w:rPr>
                <w:color w:val="000000"/>
                <w:sz w:val="20"/>
              </w:rPr>
            </w:pPr>
            <w:r>
              <w:rPr>
                <w:color w:val="000000"/>
                <w:sz w:val="20"/>
              </w:rPr>
              <w:t>)</w:t>
            </w:r>
          </w:p>
        </w:tc>
      </w:tr>
      <w:tr>
        <w:trPr/>
        <w:tc>
          <w:tcPr>
            <w:tcW w:w="7655" w:type="dxa"/>
            <w:tcBorders/>
            <w:vAlign w:val="bottom"/>
          </w:tcPr>
          <w:p>
            <w:pPr>
              <w:pStyle w:val="TableContents"/>
              <w:bidi w:val="0"/>
              <w:spacing w:before="0" w:after="0"/>
              <w:ind w:left="180" w:right="0" w:hanging="180"/>
              <w:jc w:val="left"/>
              <w:rPr>
                <w:color w:val="000000"/>
                <w:sz w:val="20"/>
              </w:rPr>
            </w:pPr>
            <w:r>
              <w:rPr>
                <w:color w:val="000000"/>
                <w:sz w:val="20"/>
              </w:rPr>
              <w:t>Adjustments to reconcile net loss to net cash used in operating activities:</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0"/>
              <w:jc w:val="right"/>
              <w:rPr>
                <w:color w:val="000000"/>
                <w:sz w:val="20"/>
              </w:rPr>
            </w:pPr>
            <w:r>
              <w:rPr>
                <w:color w:val="000000"/>
                <w:sz w:val="20"/>
              </w:rPr>
              <w:t>937</w:t>
            </w:r>
          </w:p>
        </w:tc>
        <w:tc>
          <w:tcPr>
            <w:tcW w:w="9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0"/>
              <w:ind w:left="360" w:right="0" w:hanging="180"/>
              <w:jc w:val="left"/>
              <w:rPr>
                <w:color w:val="000000"/>
                <w:sz w:val="20"/>
              </w:rPr>
            </w:pPr>
            <w:r>
              <w:rPr>
                <w:color w:val="000000"/>
                <w:sz w:val="20"/>
              </w:rPr>
              <w:t>Non-cash operating lease expenses</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0"/>
              <w:jc w:val="right"/>
              <w:rPr>
                <w:color w:val="000000"/>
                <w:sz w:val="20"/>
              </w:rPr>
            </w:pPr>
            <w:r>
              <w:rPr>
                <w:color w:val="000000"/>
                <w:sz w:val="20"/>
              </w:rPr>
              <w:t>834</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0"/>
              <w:jc w:val="right"/>
              <w:rPr>
                <w:color w:val="000000"/>
                <w:sz w:val="20"/>
              </w:rPr>
            </w:pPr>
            <w:r>
              <w:rPr>
                <w:color w:val="000000"/>
                <w:sz w:val="20"/>
              </w:rPr>
              <w:t>817</w:t>
            </w:r>
          </w:p>
        </w:tc>
        <w:tc>
          <w:tcPr>
            <w:tcW w:w="9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0"/>
              <w:ind w:left="360" w:right="0" w:hanging="180"/>
              <w:jc w:val="left"/>
              <w:rPr>
                <w:color w:val="000000"/>
                <w:sz w:val="20"/>
              </w:rPr>
            </w:pPr>
            <w:r>
              <w:rPr>
                <w:color w:val="000000"/>
                <w:sz w:val="20"/>
              </w:rPr>
              <w:t>Accretion of premium or discount on short-term investments</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0"/>
              <w:jc w:val="right"/>
              <w:rPr>
                <w:color w:val="000000"/>
                <w:sz w:val="20"/>
              </w:rPr>
            </w:pPr>
            <w:r>
              <w:rPr>
                <w:color w:val="000000"/>
                <w:sz w:val="20"/>
              </w:rPr>
              <w:t>(88</w:t>
            </w:r>
          </w:p>
        </w:tc>
        <w:tc>
          <w:tcPr>
            <w:tcW w:w="95" w:type="dxa"/>
            <w:tcBorders/>
            <w:vAlign w:val="bottom"/>
          </w:tcPr>
          <w:p>
            <w:pPr>
              <w:pStyle w:val="TableContents"/>
              <w:bidi w:val="0"/>
              <w:spacing w:before="0" w:after="0"/>
              <w:jc w:val="left"/>
              <w:rPr>
                <w:color w:val="000000"/>
                <w:sz w:val="20"/>
              </w:rPr>
            </w:pPr>
            <w:r>
              <w:rPr>
                <w:color w:val="000000"/>
                <w:sz w:val="20"/>
              </w:rPr>
              <w:t>)</w:t>
            </w:r>
          </w:p>
        </w:tc>
      </w:tr>
      <w:tr>
        <w:trPr/>
        <w:tc>
          <w:tcPr>
            <w:tcW w:w="7655"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Foreign currency exchange gain</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0"/>
              <w:jc w:val="right"/>
              <w:rPr>
                <w:color w:val="000000"/>
                <w:sz w:val="20"/>
              </w:rPr>
            </w:pPr>
            <w:r>
              <w:rPr>
                <w:color w:val="000000"/>
                <w:sz w:val="20"/>
              </w:rPr>
              <w:t>(39</w:t>
            </w:r>
          </w:p>
        </w:tc>
        <w:tc>
          <w:tcPr>
            <w:tcW w:w="95" w:type="dxa"/>
            <w:tcBorders/>
            <w:shd w:fill="CCEEFF" w:val="clear"/>
            <w:vAlign w:val="bottom"/>
          </w:tcPr>
          <w:p>
            <w:pPr>
              <w:pStyle w:val="TableContents"/>
              <w:bidi w:val="0"/>
              <w:spacing w:before="0" w:after="0"/>
              <w:jc w:val="left"/>
              <w:rPr>
                <w:color w:val="000000"/>
                <w:sz w:val="20"/>
              </w:rPr>
            </w:pPr>
            <w:r>
              <w:rPr>
                <w:color w:val="000000"/>
                <w:sz w:val="20"/>
              </w:rPr>
              <w:t>)</w:t>
            </w:r>
          </w:p>
        </w:tc>
      </w:tr>
      <w:tr>
        <w:trPr/>
        <w:tc>
          <w:tcPr>
            <w:tcW w:w="7655" w:type="dxa"/>
            <w:tcBorders/>
            <w:vAlign w:val="bottom"/>
          </w:tcPr>
          <w:p>
            <w:pPr>
              <w:pStyle w:val="TableContents"/>
              <w:bidi w:val="0"/>
              <w:spacing w:before="0" w:after="0"/>
              <w:ind w:left="360" w:right="0" w:hanging="180"/>
              <w:jc w:val="left"/>
              <w:rPr>
                <w:color w:val="000000"/>
                <w:sz w:val="20"/>
              </w:rPr>
            </w:pPr>
            <w:r>
              <w:rPr>
                <w:color w:val="000000"/>
                <w:sz w:val="20"/>
              </w:rPr>
              <w:t>Others</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0"/>
              <w:jc w:val="right"/>
              <w:rPr>
                <w:color w:val="000000"/>
                <w:sz w:val="20"/>
              </w:rPr>
            </w:pPr>
            <w:r>
              <w:rPr>
                <w:color w:val="000000"/>
                <w:sz w:val="20"/>
              </w:rPr>
              <w:t>42</w:t>
            </w:r>
          </w:p>
        </w:tc>
        <w:tc>
          <w:tcPr>
            <w:tcW w:w="95" w:type="dxa"/>
            <w:tcBorders/>
            <w:vAlign w:val="bottom"/>
          </w:tcPr>
          <w:p>
            <w:pPr>
              <w:pStyle w:val="TableContents"/>
              <w:bidi w:val="0"/>
              <w:spacing w:before="0" w:after="0"/>
              <w:jc w:val="left"/>
              <w:rPr>
                <w:color w:val="000000"/>
                <w:sz w:val="20"/>
              </w:rPr>
            </w:pPr>
            <w:r>
              <w:rPr>
                <w:color w:val="000000"/>
                <w:sz w:val="20"/>
              </w:rPr>
            </w:r>
          </w:p>
        </w:tc>
      </w:tr>
      <w:tr>
        <w:trPr/>
        <w:tc>
          <w:tcPr>
            <w:tcW w:w="7655"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Changes in operating assets and liabilities:</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0"/>
              <w:ind w:left="360" w:right="0" w:hanging="180"/>
              <w:jc w:val="left"/>
              <w:rPr>
                <w:color w:val="000000"/>
                <w:sz w:val="20"/>
              </w:rPr>
            </w:pPr>
            <w:r>
              <w:rPr>
                <w:color w:val="000000"/>
                <w:sz w:val="20"/>
              </w:rPr>
              <w:t>Prepaid expense and other current assets</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0"/>
              <w:jc w:val="right"/>
              <w:rPr>
                <w:color w:val="000000"/>
                <w:sz w:val="20"/>
              </w:rPr>
            </w:pPr>
            <w:r>
              <w:rPr>
                <w:color w:val="000000"/>
                <w:sz w:val="20"/>
              </w:rPr>
              <w:t>(1,923</w:t>
            </w:r>
          </w:p>
        </w:tc>
        <w:tc>
          <w:tcPr>
            <w:tcW w:w="95" w:type="dxa"/>
            <w:tcBorders/>
            <w:vAlign w:val="bottom"/>
          </w:tcPr>
          <w:p>
            <w:pPr>
              <w:pStyle w:val="TableContents"/>
              <w:bidi w:val="0"/>
              <w:spacing w:before="0" w:after="283"/>
              <w:jc w:val="left"/>
              <w:rPr>
                <w:sz w:val="20"/>
              </w:rPr>
            </w:pPr>
            <w:r>
              <w:rPr>
                <w:sz w:val="20"/>
              </w:rPr>
              <w:t>)</w:t>
            </w:r>
          </w:p>
        </w:tc>
      </w:tr>
      <w:tr>
        <w:trPr/>
        <w:tc>
          <w:tcPr>
            <w:tcW w:w="7655"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Amounts due from related parties</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0"/>
              <w:jc w:val="right"/>
              <w:rPr>
                <w:color w:val="000000"/>
                <w:sz w:val="20"/>
              </w:rPr>
            </w:pPr>
            <w:r>
              <w:rPr>
                <w:color w:val="000000"/>
                <w:sz w:val="20"/>
              </w:rPr>
              <w:t>26</w:t>
            </w:r>
          </w:p>
        </w:tc>
        <w:tc>
          <w:tcPr>
            <w:tcW w:w="9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0"/>
              <w:ind w:left="360" w:right="0" w:hanging="180"/>
              <w:jc w:val="left"/>
              <w:rPr>
                <w:color w:val="000000"/>
                <w:sz w:val="20"/>
              </w:rPr>
            </w:pPr>
            <w:r>
              <w:rPr>
                <w:color w:val="000000"/>
                <w:sz w:val="20"/>
              </w:rPr>
              <w:t>Accounts payable</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0"/>
              <w:jc w:val="right"/>
              <w:rPr>
                <w:color w:val="000000"/>
                <w:sz w:val="20"/>
              </w:rPr>
            </w:pPr>
            <w:r>
              <w:rPr>
                <w:color w:val="000000"/>
                <w:sz w:val="20"/>
              </w:rPr>
              <w:t>(393</w:t>
            </w:r>
          </w:p>
        </w:tc>
        <w:tc>
          <w:tcPr>
            <w:tcW w:w="95" w:type="dxa"/>
            <w:tcBorders/>
            <w:vAlign w:val="bottom"/>
          </w:tcPr>
          <w:p>
            <w:pPr>
              <w:pStyle w:val="TableContents"/>
              <w:bidi w:val="0"/>
              <w:spacing w:before="0" w:after="0"/>
              <w:jc w:val="left"/>
              <w:rPr>
                <w:color w:val="000000"/>
                <w:sz w:val="20"/>
              </w:rPr>
            </w:pPr>
            <w:r>
              <w:rPr>
                <w:color w:val="000000"/>
                <w:sz w:val="20"/>
              </w:rPr>
              <w:t>)</w:t>
            </w:r>
          </w:p>
        </w:tc>
      </w:tr>
      <w:tr>
        <w:trPr/>
        <w:tc>
          <w:tcPr>
            <w:tcW w:w="7655"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Amounts due to related parties</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0"/>
              <w:jc w:val="left"/>
              <w:rPr>
                <w:color w:val="000000"/>
                <w:sz w:val="20"/>
              </w:rPr>
            </w:pPr>
            <w:r>
              <w:rPr>
                <w:color w:val="000000"/>
                <w:sz w:val="20"/>
              </w:rPr>
            </w:r>
          </w:p>
        </w:tc>
      </w:tr>
      <w:tr>
        <w:trPr/>
        <w:tc>
          <w:tcPr>
            <w:tcW w:w="7655" w:type="dxa"/>
            <w:tcBorders/>
            <w:vAlign w:val="bottom"/>
          </w:tcPr>
          <w:p>
            <w:pPr>
              <w:pStyle w:val="TableContents"/>
              <w:bidi w:val="0"/>
              <w:spacing w:before="0" w:after="0"/>
              <w:ind w:left="360" w:right="0" w:hanging="180"/>
              <w:jc w:val="left"/>
              <w:rPr>
                <w:color w:val="000000"/>
                <w:sz w:val="20"/>
              </w:rPr>
            </w:pPr>
            <w:r>
              <w:rPr>
                <w:color w:val="000000"/>
                <w:sz w:val="20"/>
              </w:rPr>
              <w:t>Deferred revenue</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0"/>
              <w:jc w:val="right"/>
              <w:rPr>
                <w:color w:val="000000"/>
                <w:sz w:val="20"/>
              </w:rPr>
            </w:pPr>
            <w:r>
              <w:rPr>
                <w:color w:val="000000"/>
                <w:sz w:val="20"/>
              </w:rPr>
              <w:t>(9,971</w:t>
            </w:r>
          </w:p>
        </w:tc>
        <w:tc>
          <w:tcPr>
            <w:tcW w:w="95" w:type="dxa"/>
            <w:tcBorders/>
            <w:vAlign w:val="bottom"/>
          </w:tcPr>
          <w:p>
            <w:pPr>
              <w:pStyle w:val="TableContents"/>
              <w:bidi w:val="0"/>
              <w:spacing w:before="0" w:after="0"/>
              <w:jc w:val="left"/>
              <w:rPr>
                <w:color w:val="000000"/>
                <w:sz w:val="20"/>
              </w:rPr>
            </w:pPr>
            <w:r>
              <w:rPr>
                <w:color w:val="000000"/>
                <w:sz w:val="20"/>
              </w:rPr>
              <w:t>)</w:t>
            </w:r>
          </w:p>
        </w:tc>
      </w:tr>
      <w:tr>
        <w:trPr/>
        <w:tc>
          <w:tcPr>
            <w:tcW w:w="7655"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Accrued expenses and other current liabilities</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0"/>
              <w:jc w:val="right"/>
              <w:rPr>
                <w:color w:val="000000"/>
                <w:sz w:val="20"/>
              </w:rPr>
            </w:pPr>
            <w:r>
              <w:rPr>
                <w:color w:val="000000"/>
                <w:sz w:val="20"/>
              </w:rPr>
              <w:t>(1,136</w:t>
            </w:r>
          </w:p>
        </w:tc>
        <w:tc>
          <w:tcPr>
            <w:tcW w:w="95" w:type="dxa"/>
            <w:tcBorders/>
            <w:shd w:fill="CCEEFF" w:val="clear"/>
            <w:vAlign w:val="bottom"/>
          </w:tcPr>
          <w:p>
            <w:pPr>
              <w:pStyle w:val="TableContents"/>
              <w:bidi w:val="0"/>
              <w:spacing w:before="0" w:after="283"/>
              <w:jc w:val="left"/>
              <w:rPr>
                <w:sz w:val="20"/>
              </w:rPr>
            </w:pPr>
            <w:r>
              <w:rPr>
                <w:sz w:val="20"/>
              </w:rPr>
              <w:t>)</w:t>
            </w:r>
          </w:p>
        </w:tc>
      </w:tr>
      <w:tr>
        <w:trPr/>
        <w:tc>
          <w:tcPr>
            <w:tcW w:w="7655" w:type="dxa"/>
            <w:tcBorders/>
            <w:vAlign w:val="bottom"/>
          </w:tcPr>
          <w:p>
            <w:pPr>
              <w:pStyle w:val="TableContents"/>
              <w:bidi w:val="0"/>
              <w:spacing w:before="0" w:after="0"/>
              <w:ind w:left="360" w:right="0" w:hanging="180"/>
              <w:jc w:val="left"/>
              <w:rPr>
                <w:color w:val="000000"/>
                <w:sz w:val="20"/>
              </w:rPr>
            </w:pPr>
            <w:r>
              <w:rPr>
                <w:color w:val="000000"/>
                <w:sz w:val="20"/>
              </w:rPr>
              <w:t>Operating lease liabilities</w:t>
            </w:r>
          </w:p>
        </w:tc>
        <w:tc>
          <w:tcPr>
            <w:tcW w:w="60" w:type="dxa"/>
            <w:tcBorders/>
            <w:vAlign w:val="bottom"/>
          </w:tcPr>
          <w:p>
            <w:pPr>
              <w:pStyle w:val="TableContents"/>
              <w:bidi w:val="0"/>
              <w:spacing w:before="0" w:after="283"/>
              <w:jc w:val="left"/>
              <w:rPr/>
            </w:pPr>
            <w:r>
              <w:rPr/>
              <w:t> </w:t>
            </w:r>
          </w:p>
        </w:tc>
        <w:tc>
          <w:tcPr>
            <w:tcW w:w="2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76"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660</w:t>
            </w:r>
          </w:p>
        </w:tc>
        <w:tc>
          <w:tcPr>
            <w:tcW w:w="95" w:type="dxa"/>
            <w:tcBorders/>
            <w:vAlign w:val="bottom"/>
          </w:tcPr>
          <w:p>
            <w:pPr>
              <w:pStyle w:val="TableContents"/>
              <w:bidi w:val="0"/>
              <w:spacing w:before="0" w:after="0"/>
              <w:jc w:val="left"/>
              <w:rPr>
                <w:color w:val="000000"/>
                <w:sz w:val="20"/>
              </w:rPr>
            </w:pPr>
            <w:r>
              <w:rPr>
                <w:color w:val="000000"/>
                <w:sz w:val="20"/>
              </w:rPr>
            </w:r>
          </w:p>
        </w:tc>
      </w:tr>
      <w:tr>
        <w:trPr/>
        <w:tc>
          <w:tcPr>
            <w:tcW w:w="7655"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Net cash used in operating activities</w:t>
            </w:r>
          </w:p>
        </w:tc>
        <w:tc>
          <w:tcPr>
            <w:tcW w:w="60" w:type="dxa"/>
            <w:tcBorders/>
            <w:shd w:fill="CCEEFF" w:val="clear"/>
            <w:vAlign w:val="bottom"/>
          </w:tcPr>
          <w:p>
            <w:pPr>
              <w:pStyle w:val="TableContents"/>
              <w:bidi w:val="0"/>
              <w:spacing w:before="0" w:after="283"/>
              <w:jc w:val="left"/>
              <w:rPr/>
            </w:pPr>
            <w:r>
              <w:rPr/>
              <w:t> </w:t>
            </w:r>
          </w:p>
        </w:tc>
        <w:tc>
          <w:tcPr>
            <w:tcW w:w="2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76"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(21,039</w:t>
            </w:r>
          </w:p>
        </w:tc>
        <w:tc>
          <w:tcPr>
            <w:tcW w:w="95" w:type="dxa"/>
            <w:tcBorders/>
            <w:shd w:fill="CCEEFF" w:val="clear"/>
            <w:vAlign w:val="bottom"/>
          </w:tcPr>
          <w:p>
            <w:pPr>
              <w:pStyle w:val="TableContents"/>
              <w:bidi w:val="0"/>
              <w:spacing w:before="0" w:after="0"/>
              <w:jc w:val="left"/>
              <w:rPr>
                <w:color w:val="000000"/>
                <w:sz w:val="20"/>
              </w:rPr>
            </w:pPr>
            <w:r>
              <w:rPr>
                <w:color w:val="000000"/>
                <w:sz w:val="20"/>
              </w:rPr>
              <w:t>)</w:t>
            </w:r>
          </w:p>
        </w:tc>
      </w:tr>
      <w:tr>
        <w:trPr/>
        <w:tc>
          <w:tcPr>
            <w:tcW w:w="7655" w:type="dxa"/>
            <w:tcBorders/>
            <w:vAlign w:val="bottom"/>
          </w:tcPr>
          <w:p>
            <w:pPr>
              <w:pStyle w:val="TableContents"/>
              <w:bidi w:val="0"/>
              <w:spacing w:before="0" w:after="0"/>
              <w:ind w:left="180" w:right="0" w:hanging="180"/>
              <w:jc w:val="left"/>
              <w:rPr>
                <w:b/>
                <w:color w:val="000000"/>
                <w:sz w:val="20"/>
              </w:rPr>
            </w:pPr>
            <w:r>
              <w:rPr>
                <w:b/>
                <w:color w:val="000000"/>
                <w:sz w:val="20"/>
              </w:rPr>
              <w:t>Cash flows from investing activities:</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Purchase of property and equipment</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0"/>
              <w:jc w:val="right"/>
              <w:rPr>
                <w:color w:val="000000"/>
                <w:sz w:val="20"/>
              </w:rPr>
            </w:pPr>
            <w:r>
              <w:rPr>
                <w:color w:val="000000"/>
                <w:sz w:val="20"/>
              </w:rPr>
              <w:t>(1,717</w:t>
            </w:r>
          </w:p>
        </w:tc>
        <w:tc>
          <w:tcPr>
            <w:tcW w:w="95" w:type="dxa"/>
            <w:tcBorders/>
            <w:shd w:fill="CCEEFF" w:val="clear"/>
            <w:vAlign w:val="bottom"/>
          </w:tcPr>
          <w:p>
            <w:pPr>
              <w:pStyle w:val="TableContents"/>
              <w:bidi w:val="0"/>
              <w:spacing w:before="0" w:after="0"/>
              <w:jc w:val="left"/>
              <w:rPr>
                <w:color w:val="000000"/>
                <w:sz w:val="20"/>
              </w:rPr>
            </w:pPr>
            <w:r>
              <w:rPr>
                <w:color w:val="000000"/>
                <w:sz w:val="20"/>
              </w:rPr>
              <w:t>)</w:t>
            </w:r>
          </w:p>
        </w:tc>
      </w:tr>
      <w:tr>
        <w:trPr/>
        <w:tc>
          <w:tcPr>
            <w:tcW w:w="7655" w:type="dxa"/>
            <w:tcBorders/>
            <w:vAlign w:val="bottom"/>
          </w:tcPr>
          <w:p>
            <w:pPr>
              <w:pStyle w:val="TableContents"/>
              <w:bidi w:val="0"/>
              <w:spacing w:before="0" w:after="0"/>
              <w:ind w:left="180" w:right="0" w:hanging="180"/>
              <w:jc w:val="left"/>
              <w:rPr>
                <w:color w:val="000000"/>
                <w:sz w:val="20"/>
              </w:rPr>
            </w:pPr>
            <w:r>
              <w:rPr>
                <w:color w:val="000000"/>
                <w:sz w:val="20"/>
              </w:rPr>
              <w:t>Purchase of available-for-sale securities</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0"/>
              <w:jc w:val="right"/>
              <w:rPr>
                <w:color w:val="000000"/>
                <w:sz w:val="20"/>
              </w:rPr>
            </w:pPr>
            <w:r>
              <w:rPr>
                <w:color w:val="000000"/>
                <w:sz w:val="20"/>
              </w:rPr>
              <w:t>(24,985</w:t>
            </w:r>
          </w:p>
        </w:tc>
        <w:tc>
          <w:tcPr>
            <w:tcW w:w="95" w:type="dxa"/>
            <w:tcBorders/>
            <w:vAlign w:val="bottom"/>
          </w:tcPr>
          <w:p>
            <w:pPr>
              <w:pStyle w:val="TableContents"/>
              <w:bidi w:val="0"/>
              <w:spacing w:before="0" w:after="0"/>
              <w:jc w:val="left"/>
              <w:rPr>
                <w:color w:val="000000"/>
                <w:sz w:val="20"/>
              </w:rPr>
            </w:pPr>
            <w:r>
              <w:rPr>
                <w:color w:val="000000"/>
                <w:sz w:val="20"/>
              </w:rPr>
              <w:t>)</w:t>
            </w:r>
          </w:p>
        </w:tc>
      </w:tr>
      <w:tr>
        <w:trPr/>
        <w:tc>
          <w:tcPr>
            <w:tcW w:w="7655"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Purchase of time deposit investments</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0"/>
              <w:jc w:val="right"/>
              <w:rPr>
                <w:color w:val="000000"/>
                <w:sz w:val="20"/>
              </w:rPr>
            </w:pPr>
            <w:r>
              <w:rPr>
                <w:color w:val="000000"/>
                <w:sz w:val="20"/>
              </w:rPr>
              <w:t>(8,000</w:t>
            </w:r>
          </w:p>
        </w:tc>
        <w:tc>
          <w:tcPr>
            <w:tcW w:w="95" w:type="dxa"/>
            <w:tcBorders/>
            <w:shd w:fill="CCEEFF" w:val="clear"/>
            <w:vAlign w:val="bottom"/>
          </w:tcPr>
          <w:p>
            <w:pPr>
              <w:pStyle w:val="TableContents"/>
              <w:bidi w:val="0"/>
              <w:spacing w:before="0" w:after="0"/>
              <w:jc w:val="left"/>
              <w:rPr>
                <w:color w:val="000000"/>
                <w:sz w:val="20"/>
              </w:rPr>
            </w:pPr>
            <w:r>
              <w:rPr>
                <w:color w:val="000000"/>
                <w:sz w:val="20"/>
              </w:rPr>
              <w:t>)</w:t>
            </w:r>
          </w:p>
        </w:tc>
      </w:tr>
      <w:tr>
        <w:trPr/>
        <w:tc>
          <w:tcPr>
            <w:tcW w:w="7655" w:type="dxa"/>
            <w:tcBorders/>
            <w:vAlign w:val="bottom"/>
          </w:tcPr>
          <w:p>
            <w:pPr>
              <w:pStyle w:val="TableContents"/>
              <w:bidi w:val="0"/>
              <w:spacing w:before="0" w:after="0"/>
              <w:ind w:left="180" w:right="0" w:hanging="180"/>
              <w:jc w:val="left"/>
              <w:rPr>
                <w:color w:val="000000"/>
                <w:sz w:val="20"/>
              </w:rPr>
            </w:pPr>
            <w:r>
              <w:rPr>
                <w:color w:val="000000"/>
                <w:sz w:val="20"/>
              </w:rPr>
              <w:t>Proceeds of available-for-sale securities</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0"/>
              <w:jc w:val="right"/>
              <w:rPr>
                <w:color w:val="000000"/>
                <w:sz w:val="20"/>
              </w:rPr>
            </w:pPr>
            <w:r>
              <w:rPr>
                <w:color w:val="000000"/>
                <w:sz w:val="20"/>
              </w:rPr>
              <w:t>23,777</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Proceeds of time deposit investments</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0"/>
              <w:jc w:val="right"/>
              <w:rPr>
                <w:color w:val="000000"/>
                <w:sz w:val="20"/>
              </w:rPr>
            </w:pPr>
            <w:r>
              <w:rPr>
                <w:color w:val="000000"/>
                <w:sz w:val="20"/>
              </w:rPr>
              <w:t>19,000</w:t>
            </w:r>
          </w:p>
        </w:tc>
        <w:tc>
          <w:tcPr>
            <w:tcW w:w="9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0"/>
              <w:ind w:left="180" w:right="0" w:hanging="180"/>
              <w:jc w:val="left"/>
              <w:rPr>
                <w:color w:val="000000"/>
                <w:sz w:val="20"/>
              </w:rPr>
            </w:pPr>
            <w:r>
              <w:rPr>
                <w:color w:val="000000"/>
                <w:sz w:val="20"/>
              </w:rPr>
              <w:t>Proceeds from disposal of property, plant and equipment</w:t>
            </w:r>
          </w:p>
        </w:tc>
        <w:tc>
          <w:tcPr>
            <w:tcW w:w="60" w:type="dxa"/>
            <w:tcBorders/>
            <w:vAlign w:val="bottom"/>
          </w:tcPr>
          <w:p>
            <w:pPr>
              <w:pStyle w:val="TableContents"/>
              <w:bidi w:val="0"/>
              <w:spacing w:before="0" w:after="283"/>
              <w:jc w:val="left"/>
              <w:rPr/>
            </w:pPr>
            <w:r>
              <w:rPr/>
              <w:t> </w:t>
            </w:r>
          </w:p>
        </w:tc>
        <w:tc>
          <w:tcPr>
            <w:tcW w:w="2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76"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100</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Net cash provided by investing activities</w:t>
            </w:r>
          </w:p>
        </w:tc>
        <w:tc>
          <w:tcPr>
            <w:tcW w:w="60" w:type="dxa"/>
            <w:tcBorders/>
            <w:shd w:fill="CCEEFF" w:val="clear"/>
            <w:vAlign w:val="bottom"/>
          </w:tcPr>
          <w:p>
            <w:pPr>
              <w:pStyle w:val="TableContents"/>
              <w:bidi w:val="0"/>
              <w:spacing w:before="0" w:after="283"/>
              <w:jc w:val="left"/>
              <w:rPr/>
            </w:pPr>
            <w:r>
              <w:rPr/>
              <w:t> </w:t>
            </w:r>
          </w:p>
        </w:tc>
        <w:tc>
          <w:tcPr>
            <w:tcW w:w="2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76"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8,175</w:t>
            </w:r>
          </w:p>
        </w:tc>
        <w:tc>
          <w:tcPr>
            <w:tcW w:w="95" w:type="dxa"/>
            <w:tcBorders/>
            <w:shd w:fill="CCEEFF" w:val="clear"/>
            <w:vAlign w:val="bottom"/>
          </w:tcPr>
          <w:p>
            <w:pPr>
              <w:pStyle w:val="TableContents"/>
              <w:bidi w:val="0"/>
              <w:spacing w:before="0" w:after="0"/>
              <w:jc w:val="left"/>
              <w:rPr>
                <w:color w:val="000000"/>
                <w:sz w:val="20"/>
              </w:rPr>
            </w:pPr>
            <w:r>
              <w:rPr>
                <w:color w:val="000000"/>
                <w:sz w:val="20"/>
              </w:rPr>
            </w:r>
          </w:p>
        </w:tc>
      </w:tr>
      <w:tr>
        <w:trPr/>
        <w:tc>
          <w:tcPr>
            <w:tcW w:w="7655" w:type="dxa"/>
            <w:tcBorders/>
            <w:vAlign w:val="bottom"/>
          </w:tcPr>
          <w:p>
            <w:pPr>
              <w:pStyle w:val="TableContents"/>
              <w:bidi w:val="0"/>
              <w:spacing w:before="0" w:after="0"/>
              <w:ind w:left="180" w:right="0" w:hanging="180"/>
              <w:jc w:val="left"/>
              <w:rPr>
                <w:b/>
                <w:color w:val="000000"/>
                <w:sz w:val="20"/>
              </w:rPr>
            </w:pPr>
            <w:r>
              <w:rPr>
                <w:b/>
                <w:color w:val="000000"/>
                <w:sz w:val="20"/>
              </w:rPr>
              <w:t>Cash flows from financing activities:</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Payments of transaction costs</w:t>
            </w:r>
          </w:p>
        </w:tc>
        <w:tc>
          <w:tcPr>
            <w:tcW w:w="60" w:type="dxa"/>
            <w:tcBorders/>
            <w:shd w:fill="CCEEFF" w:val="clear"/>
            <w:vAlign w:val="bottom"/>
          </w:tcPr>
          <w:p>
            <w:pPr>
              <w:pStyle w:val="TableContents"/>
              <w:bidi w:val="0"/>
              <w:spacing w:before="0" w:after="283"/>
              <w:jc w:val="left"/>
              <w:rPr/>
            </w:pPr>
            <w:r>
              <w:rPr/>
              <w:t> </w:t>
            </w:r>
          </w:p>
        </w:tc>
        <w:tc>
          <w:tcPr>
            <w:tcW w:w="2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76"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(2,573</w:t>
            </w:r>
          </w:p>
        </w:tc>
        <w:tc>
          <w:tcPr>
            <w:tcW w:w="95" w:type="dxa"/>
            <w:tcBorders/>
            <w:shd w:fill="CCEEFF" w:val="clear"/>
            <w:vAlign w:val="bottom"/>
          </w:tcPr>
          <w:p>
            <w:pPr>
              <w:pStyle w:val="TableContents"/>
              <w:bidi w:val="0"/>
              <w:spacing w:before="0" w:after="0"/>
              <w:jc w:val="left"/>
              <w:rPr>
                <w:color w:val="000000"/>
                <w:sz w:val="20"/>
              </w:rPr>
            </w:pPr>
            <w:r>
              <w:rPr>
                <w:color w:val="000000"/>
                <w:sz w:val="20"/>
              </w:rPr>
              <w:t>)</w:t>
            </w:r>
          </w:p>
        </w:tc>
      </w:tr>
      <w:tr>
        <w:trPr/>
        <w:tc>
          <w:tcPr>
            <w:tcW w:w="7655" w:type="dxa"/>
            <w:tcBorders/>
            <w:vAlign w:val="bottom"/>
          </w:tcPr>
          <w:p>
            <w:pPr>
              <w:pStyle w:val="TableContents"/>
              <w:bidi w:val="0"/>
              <w:spacing w:before="0" w:after="0"/>
              <w:ind w:left="180" w:right="0" w:hanging="180"/>
              <w:jc w:val="left"/>
              <w:rPr>
                <w:color w:val="000000"/>
                <w:sz w:val="20"/>
              </w:rPr>
            </w:pPr>
            <w:r>
              <w:rPr>
                <w:color w:val="000000"/>
                <w:sz w:val="20"/>
              </w:rPr>
              <w:t>Net cash used in financing activities</w:t>
            </w:r>
          </w:p>
        </w:tc>
        <w:tc>
          <w:tcPr>
            <w:tcW w:w="60" w:type="dxa"/>
            <w:tcBorders/>
            <w:vAlign w:val="bottom"/>
          </w:tcPr>
          <w:p>
            <w:pPr>
              <w:pStyle w:val="TableContents"/>
              <w:bidi w:val="0"/>
              <w:spacing w:before="0" w:after="283"/>
              <w:jc w:val="left"/>
              <w:rPr/>
            </w:pPr>
            <w:r>
              <w:rPr/>
              <w:t> </w:t>
            </w:r>
          </w:p>
        </w:tc>
        <w:tc>
          <w:tcPr>
            <w:tcW w:w="2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76"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(2,573</w:t>
            </w:r>
          </w:p>
        </w:tc>
        <w:tc>
          <w:tcPr>
            <w:tcW w:w="95" w:type="dxa"/>
            <w:tcBorders/>
            <w:vAlign w:val="bottom"/>
          </w:tcPr>
          <w:p>
            <w:pPr>
              <w:pStyle w:val="TableContents"/>
              <w:bidi w:val="0"/>
              <w:spacing w:before="0" w:after="0"/>
              <w:jc w:val="left"/>
              <w:rPr>
                <w:color w:val="000000"/>
                <w:sz w:val="20"/>
              </w:rPr>
            </w:pPr>
            <w:r>
              <w:rPr>
                <w:color w:val="000000"/>
                <w:sz w:val="20"/>
              </w:rPr>
              <w:t>)</w:t>
            </w:r>
          </w:p>
        </w:tc>
      </w:tr>
      <w:tr>
        <w:trPr/>
        <w:tc>
          <w:tcPr>
            <w:tcW w:w="7655"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Effect of exchange rate changes on cash, cash equivalents</w:t>
            </w:r>
          </w:p>
        </w:tc>
        <w:tc>
          <w:tcPr>
            <w:tcW w:w="60" w:type="dxa"/>
            <w:tcBorders/>
            <w:shd w:fill="CCEEFF" w:val="clear"/>
            <w:vAlign w:val="bottom"/>
          </w:tcPr>
          <w:p>
            <w:pPr>
              <w:pStyle w:val="TableContents"/>
              <w:bidi w:val="0"/>
              <w:spacing w:before="0" w:after="283"/>
              <w:jc w:val="left"/>
              <w:rPr/>
            </w:pPr>
            <w:r>
              <w:rPr/>
              <w:t> </w:t>
            </w:r>
          </w:p>
        </w:tc>
        <w:tc>
          <w:tcPr>
            <w:tcW w:w="264" w:type="dxa"/>
            <w:tcBorders>
              <w:bottom w:val="single" w:sz="12" w:space="0" w:color="000000"/>
            </w:tcBorders>
            <w:shd w:fill="CCEEFF" w:val="clear"/>
            <w:tcMar>
              <w:bottom w:w="28" w:type="dxa"/>
            </w:tcMar>
            <w:vAlign w:val="bottom"/>
          </w:tcPr>
          <w:p>
            <w:pPr>
              <w:pStyle w:val="TableContents"/>
              <w:bidi w:val="0"/>
              <w:spacing w:before="0" w:after="0"/>
              <w:jc w:val="left"/>
              <w:rPr>
                <w:color w:val="000000"/>
                <w:sz w:val="20"/>
              </w:rPr>
            </w:pPr>
            <w:r>
              <w:rPr>
                <w:color w:val="000000"/>
                <w:sz w:val="20"/>
              </w:rPr>
              <w:t>$</w:t>
            </w:r>
          </w:p>
        </w:tc>
        <w:tc>
          <w:tcPr>
            <w:tcW w:w="1376"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324</w:t>
            </w:r>
          </w:p>
        </w:tc>
        <w:tc>
          <w:tcPr>
            <w:tcW w:w="9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0"/>
              <w:ind w:left="180" w:right="0" w:hanging="180"/>
              <w:jc w:val="left"/>
              <w:rPr>
                <w:color w:val="000000"/>
                <w:sz w:val="20"/>
              </w:rPr>
            </w:pPr>
            <w:r>
              <w:rPr>
                <w:color w:val="000000"/>
                <w:sz w:val="20"/>
              </w:rPr>
              <w:t>Net decrease in cash and cash equivalents</w:t>
            </w:r>
          </w:p>
        </w:tc>
        <w:tc>
          <w:tcPr>
            <w:tcW w:w="60" w:type="dxa"/>
            <w:tcBorders/>
            <w:vAlign w:val="bottom"/>
          </w:tcPr>
          <w:p>
            <w:pPr>
              <w:pStyle w:val="TableContents"/>
              <w:bidi w:val="0"/>
              <w:spacing w:before="0" w:after="283"/>
              <w:jc w:val="left"/>
              <w:rPr/>
            </w:pPr>
            <w:r>
              <w:rPr/>
              <w:t> </w:t>
            </w:r>
          </w:p>
        </w:tc>
        <w:tc>
          <w:tcPr>
            <w:tcW w:w="2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76"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(15,113</w:t>
            </w:r>
          </w:p>
        </w:tc>
        <w:tc>
          <w:tcPr>
            <w:tcW w:w="95" w:type="dxa"/>
            <w:tcBorders/>
            <w:vAlign w:val="bottom"/>
          </w:tcPr>
          <w:p>
            <w:pPr>
              <w:pStyle w:val="TableContents"/>
              <w:bidi w:val="0"/>
              <w:spacing w:before="0" w:after="0"/>
              <w:jc w:val="left"/>
              <w:rPr>
                <w:color w:val="000000"/>
                <w:sz w:val="20"/>
              </w:rPr>
            </w:pPr>
            <w:r>
              <w:rPr>
                <w:color w:val="000000"/>
                <w:sz w:val="20"/>
              </w:rPr>
              <w:t>)</w:t>
            </w:r>
          </w:p>
        </w:tc>
      </w:tr>
      <w:tr>
        <w:trPr/>
        <w:tc>
          <w:tcPr>
            <w:tcW w:w="7655"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Cash and cash equivalents at beginning of year</w:t>
            </w:r>
          </w:p>
        </w:tc>
        <w:tc>
          <w:tcPr>
            <w:tcW w:w="60" w:type="dxa"/>
            <w:tcBorders/>
            <w:shd w:fill="CCEEFF" w:val="clear"/>
            <w:vAlign w:val="bottom"/>
          </w:tcPr>
          <w:p>
            <w:pPr>
              <w:pStyle w:val="TableContents"/>
              <w:bidi w:val="0"/>
              <w:spacing w:before="0" w:after="283"/>
              <w:jc w:val="left"/>
              <w:rPr/>
            </w:pPr>
            <w:r>
              <w:rPr/>
              <w:t> </w:t>
            </w:r>
          </w:p>
        </w:tc>
        <w:tc>
          <w:tcPr>
            <w:tcW w:w="2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76"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27,235</w:t>
            </w:r>
          </w:p>
        </w:tc>
        <w:tc>
          <w:tcPr>
            <w:tcW w:w="9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0"/>
              <w:ind w:left="180" w:right="0" w:hanging="180"/>
              <w:jc w:val="left"/>
              <w:rPr>
                <w:color w:val="000000"/>
                <w:sz w:val="20"/>
              </w:rPr>
            </w:pPr>
            <w:r>
              <w:rPr>
                <w:color w:val="000000"/>
                <w:sz w:val="20"/>
              </w:rPr>
              <w:t>Cash and cash equivalents at end of year</w:t>
            </w:r>
          </w:p>
        </w:tc>
        <w:tc>
          <w:tcPr>
            <w:tcW w:w="60" w:type="dxa"/>
            <w:tcBorders/>
            <w:vAlign w:val="bottom"/>
          </w:tcPr>
          <w:p>
            <w:pPr>
              <w:pStyle w:val="TableContents"/>
              <w:bidi w:val="0"/>
              <w:spacing w:before="0" w:after="283"/>
              <w:jc w:val="left"/>
              <w:rPr/>
            </w:pPr>
            <w:r>
              <w:rPr/>
              <w:t> </w:t>
            </w:r>
          </w:p>
        </w:tc>
        <w:tc>
          <w:tcPr>
            <w:tcW w:w="264" w:type="dxa"/>
            <w:tcBorders>
              <w:bottom w:val="double" w:sz="8" w:space="0" w:color="000000"/>
            </w:tcBorders>
            <w:tcMar>
              <w:bottom w:w="28" w:type="dxa"/>
            </w:tcMar>
            <w:vAlign w:val="bottom"/>
          </w:tcPr>
          <w:p>
            <w:pPr>
              <w:pStyle w:val="TableContents"/>
              <w:bidi w:val="0"/>
              <w:spacing w:before="0" w:after="0"/>
              <w:jc w:val="left"/>
              <w:rPr>
                <w:color w:val="000000"/>
                <w:sz w:val="20"/>
              </w:rPr>
            </w:pPr>
            <w:r>
              <w:rPr>
                <w:color w:val="000000"/>
                <w:sz w:val="20"/>
              </w:rPr>
              <w:t>$</w:t>
            </w:r>
          </w:p>
        </w:tc>
        <w:tc>
          <w:tcPr>
            <w:tcW w:w="1376"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12,122</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0"/>
              <w:ind w:left="180" w:right="0" w:hanging="180"/>
              <w:jc w:val="left"/>
              <w:rPr>
                <w:b/>
                <w:color w:val="000000"/>
                <w:sz w:val="20"/>
              </w:rPr>
            </w:pPr>
            <w:r>
              <w:rPr>
                <w:b/>
                <w:color w:val="000000"/>
                <w:sz w:val="20"/>
              </w:rPr>
              <w:t>Supplemental disclosure of cash flow information:</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0"/>
              <w:ind w:left="180" w:right="0" w:hanging="180"/>
              <w:jc w:val="left"/>
              <w:rPr>
                <w:color w:val="000000"/>
                <w:sz w:val="20"/>
              </w:rPr>
            </w:pPr>
            <w:r>
              <w:rPr>
                <w:color w:val="000000"/>
                <w:sz w:val="20"/>
              </w:rPr>
              <w:t>Income tax paid</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0"/>
              <w:jc w:val="right"/>
              <w:rPr>
                <w:color w:val="000000"/>
                <w:sz w:val="20"/>
              </w:rPr>
            </w:pPr>
            <w:r>
              <w:rPr>
                <w:color w:val="000000"/>
                <w:sz w:val="20"/>
              </w:rPr>
              <w:t>(1,500</w:t>
            </w:r>
          </w:p>
        </w:tc>
        <w:tc>
          <w:tcPr>
            <w:tcW w:w="95" w:type="dxa"/>
            <w:tcBorders/>
            <w:vAlign w:val="bottom"/>
          </w:tcPr>
          <w:p>
            <w:pPr>
              <w:pStyle w:val="TableContents"/>
              <w:bidi w:val="0"/>
              <w:spacing w:before="0" w:after="0"/>
              <w:jc w:val="left"/>
              <w:rPr>
                <w:color w:val="000000"/>
                <w:sz w:val="20"/>
              </w:rPr>
            </w:pPr>
            <w:r>
              <w:rPr>
                <w:color w:val="000000"/>
                <w:sz w:val="20"/>
              </w:rPr>
              <w:t>)</w:t>
            </w:r>
          </w:p>
        </w:tc>
      </w:tr>
      <w:tr>
        <w:trPr/>
        <w:tc>
          <w:tcPr>
            <w:tcW w:w="7655" w:type="dxa"/>
            <w:tcBorders/>
            <w:shd w:fill="CCEEFF" w:val="clear"/>
            <w:vAlign w:val="bottom"/>
          </w:tcPr>
          <w:p>
            <w:pPr>
              <w:pStyle w:val="TableContents"/>
              <w:bidi w:val="0"/>
              <w:spacing w:before="0" w:after="0"/>
              <w:ind w:left="180" w:right="0" w:hanging="180"/>
              <w:jc w:val="left"/>
              <w:rPr>
                <w:b/>
                <w:color w:val="000000"/>
                <w:sz w:val="20"/>
              </w:rPr>
            </w:pPr>
            <w:r>
              <w:rPr>
                <w:b/>
                <w:color w:val="000000"/>
                <w:sz w:val="20"/>
              </w:rPr>
              <w:t>Supplemental disclosure of non-cash operating activities:</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0"/>
              <w:ind w:left="180" w:right="0" w:hanging="180"/>
              <w:jc w:val="left"/>
              <w:rPr>
                <w:color w:val="000000"/>
                <w:sz w:val="20"/>
              </w:rPr>
            </w:pPr>
            <w:r>
              <w:rPr>
                <w:color w:val="000000"/>
                <w:sz w:val="20"/>
              </w:rPr>
              <w:t>Right-of-use assets obtained in exchange for operating lease liabilities</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0"/>
              <w:jc w:val="right"/>
              <w:rPr>
                <w:color w:val="000000"/>
                <w:sz w:val="20"/>
              </w:rPr>
            </w:pPr>
            <w:r>
              <w:rPr>
                <w:color w:val="000000"/>
                <w:sz w:val="20"/>
              </w:rPr>
              <w:t>1,542</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Derecognition of the right-of-use assets and operating lease liabilities due to lease termination</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0"/>
              <w:jc w:val="right"/>
              <w:rPr>
                <w:color w:val="000000"/>
                <w:sz w:val="20"/>
              </w:rPr>
            </w:pPr>
            <w:r>
              <w:rPr>
                <w:color w:val="000000"/>
                <w:sz w:val="20"/>
              </w:rPr>
              <w:t>84</w:t>
            </w:r>
          </w:p>
        </w:tc>
        <w:tc>
          <w:tcPr>
            <w:tcW w:w="9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0"/>
              <w:ind w:left="180" w:right="0" w:hanging="180"/>
              <w:jc w:val="left"/>
              <w:rPr>
                <w:b/>
                <w:color w:val="000000"/>
                <w:sz w:val="20"/>
              </w:rPr>
            </w:pPr>
            <w:r>
              <w:rPr>
                <w:b/>
                <w:color w:val="000000"/>
                <w:sz w:val="20"/>
              </w:rPr>
              <w:t>Supplemental disclosure of non-cash investing and financing activities:</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655"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Accretion of redeemable convertible preferred stock</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76" w:type="dxa"/>
            <w:tcBorders/>
            <w:shd w:fill="CCEEFF" w:val="clear"/>
            <w:vAlign w:val="bottom"/>
          </w:tcPr>
          <w:p>
            <w:pPr>
              <w:pStyle w:val="TableContents"/>
              <w:bidi w:val="0"/>
              <w:spacing w:before="0" w:after="0"/>
              <w:jc w:val="right"/>
              <w:rPr>
                <w:color w:val="000000"/>
                <w:sz w:val="20"/>
              </w:rPr>
            </w:pPr>
            <w:r>
              <w:rPr>
                <w:color w:val="000000"/>
                <w:sz w:val="20"/>
              </w:rPr>
              <w:t>14,801</w:t>
            </w:r>
          </w:p>
        </w:tc>
        <w:tc>
          <w:tcPr>
            <w:tcW w:w="95"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0"/>
              <w:ind w:left="180" w:right="0" w:hanging="180"/>
              <w:jc w:val="left"/>
              <w:rPr>
                <w:color w:val="000000"/>
                <w:sz w:val="20"/>
              </w:rPr>
            </w:pPr>
            <w:r>
              <w:rPr>
                <w:color w:val="000000"/>
                <w:sz w:val="20"/>
              </w:rPr>
              <w:t>Unpaid transaction costs included in accrued expenses and other current liabilities</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76" w:type="dxa"/>
            <w:tcBorders/>
            <w:vAlign w:val="bottom"/>
          </w:tcPr>
          <w:p>
            <w:pPr>
              <w:pStyle w:val="TableContents"/>
              <w:bidi w:val="0"/>
              <w:spacing w:before="0" w:after="0"/>
              <w:jc w:val="right"/>
              <w:rPr>
                <w:color w:val="000000"/>
                <w:sz w:val="20"/>
              </w:rPr>
            </w:pPr>
            <w:r>
              <w:rPr>
                <w:color w:val="000000"/>
                <w:sz w:val="20"/>
              </w:rPr>
              <w:t>174</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center"/>
        <w:rPr>
          <w:b/>
          <w:color w:val="000000"/>
          <w:sz w:val="20"/>
        </w:rPr>
      </w:pPr>
      <w:r>
        <w:rPr>
          <w:b/>
          <w:color w:val="000000"/>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The accompanying footnotes are an integral part of these consolidated financial statements.</w:t>
      </w:r>
    </w:p>
    <w:p>
      <w:pPr>
        <w:pStyle w:val="TextBody"/>
        <w:bidi w:val="0"/>
        <w:spacing w:before="0" w:after="0"/>
        <w:jc w:val="center"/>
        <w:rPr>
          <w:i/>
          <w:color w:val="000000"/>
          <w:sz w:val="20"/>
        </w:rPr>
      </w:pPr>
      <w:r>
        <w:rPr>
          <w:i/>
          <w:color w:val="000000"/>
          <w:sz w:val="20"/>
        </w:rPr>
      </w:r>
    </w:p>
    <w:p>
      <w:pPr>
        <w:pStyle w:val="TextBody"/>
        <w:bidi w:val="0"/>
        <w:spacing w:before="200" w:after="200"/>
        <w:jc w:val="center"/>
        <w:rPr>
          <w:rFonts w:ascii="Times New Roman" w:hAnsi="Times New Roman"/>
          <w:b w:val="false"/>
          <w:i w:val="false"/>
          <w:caps w:val="false"/>
          <w:smallCaps w:val="false"/>
          <w:color w:val="000000"/>
          <w:sz w:val="16"/>
        </w:rPr>
      </w:pPr>
      <w:bookmarkStart w:id="61" w:name="ny20040458x2_s4a_204-finnotes01_pg1"/>
      <w:bookmarkEnd w:id="61"/>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b/>
          <w:color w:val="000000"/>
          <w:sz w:val="20"/>
        </w:rPr>
      </w:pPr>
      <w:r>
        <w:rPr>
          <w:b/>
          <w:color w:val="000000"/>
          <w:sz w:val="20"/>
        </w:rPr>
      </w:r>
    </w:p>
    <w:p>
      <w:pPr>
        <w:pStyle w:val="TextBody"/>
        <w:bidi w:val="0"/>
        <w:spacing w:before="0" w:after="0"/>
        <w:jc w:val="center"/>
        <w:rPr>
          <w:rFonts w:ascii="Times New Roman" w:hAnsi="Times New Roman"/>
          <w:b/>
          <w:color w:val="000000"/>
          <w:sz w:val="20"/>
        </w:rPr>
      </w:pPr>
      <w:bookmarkStart w:id="62" w:name="NotestoConsolidatedFinanc"/>
      <w:bookmarkEnd w:id="62"/>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bookmarkStart w:id="63" w:name="cNCF"/>
      <w:bookmarkEnd w:id="63"/>
      <w:r>
        <w:rPr>
          <w:rFonts w:ascii="Times New Roman" w:hAnsi="Times New Roman"/>
          <w:b/>
          <w:color w:val="000000"/>
          <w:sz w:val="20"/>
        </w:rPr>
        <w:t>1. Description of Business and Liquidity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Cullgen Inc., or together with its subsidiaries, the Company, was incorporated in the state of Delaware on January 12, 2018. The Company is a privately held biopharmaceutical company dedicated to the development of medicines for the treatment of diseases lacking effective therapeutic approaches. The Company is headquartered in San Diego, California.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is subject to risks common to companies in the biopharmaceutical industry, including but not limited to, the need for additional capital, risks of failure of preclinical studies and clinical trials, dependence on key personnel, protection of proprietary technology, and development of technological innovations by competitors.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Since its inception, the Company’s primary activities have been focused on performing research and development activities, building the Company’s intellectual property, recruiting personnel, and raising capital to support these activities. To date, the Company has funded its operations primarily with proceeds received from the issuances of redeemable convertible preferred stock and common stock, and through its collaboration agreements.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has incurred recurring losses since its inception. As of December 31, 2025, the Company had an accumulated deficit of $132,179. To date, the Company has not generated any revenue from product sales as none of its product candidates has been approved for commercialization. The Company expects to continue to generate operating losses for the foreseeable future.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currently expects that its existing cash, cash equivalents and short-term investments will be sufficient to fund operating expenses and capital requirements for at least the next 12 months. However, the Company may potentially continue to have an ongoing need to raise additional cash from outside sources to fund its operations. The Company plans to continue to fund its operations through capital raising, collaborations or partnerships with other companies.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Basis of Presentation and Consolidation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accompanying consolidated financial statements are prepared in accordance with U.S. generally accepted accounting principles (“U.S. GAAP”) and include the accounts of the Company and its subsidiaries. All intercompany balances, transactions, and profits have been eliminated through the preparation of the consolidated financial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most significant estimates include revenue recognition, accruals for research and development expenses, valuation of stock-based compensation awards, fair value of preferred stock warrant liabilities, and estimating the incremental borrowing rate for leases. Actual results may differ materially and adversely from the Company’s estimates. To the extent there are material differences between the estimates and actual results, the Company’s future results of operations will be affected.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Foreign Currency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Company’s functional currency and reporting currency are the U.S. dollar (“$” or U.S. dollar). Transactions in subsidiaries are recorded in the functional currency of the respective subsidiary. The determination of functional currency is based on the criteria of Accounting Standard Codification (“ASC”) 830, </w:t>
      </w:r>
      <w:r>
        <w:rPr>
          <w:rFonts w:ascii="Times New Roman" w:hAnsi="Times New Roman"/>
          <w:i/>
          <w:color w:val="000000"/>
          <w:sz w:val="20"/>
        </w:rPr>
        <w:t>Foreign Currency Matters.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b/>
          <w:sz w:val="20"/>
        </w:rPr>
      </w:pPr>
      <w:r>
        <w:rPr>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 subsidiaries whose functional currencies are not the U.S. dollar, the Company uses the average exchange rate for the period and the exchange rate at the balance sheet date, to translate the operating results and financial position to U.S. dollar, the reporting currency, respectively. Translation differences are recorded in accumulated other comprehensive loss, a component of stockholders’ deficit. Transactions denominated in currencies other than the functional currency are translated into the functional currency at the exchange rates prevailing on the transaction dates. Foreign currency denominated financial assets and liabilities are remeasured at the exchange rates prevailing at the balance sheet date. Remeasurement exchange gains and losses are included in the consolidated statement of comprehensive loss.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Segments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Operating segments are defined as components of an entity for which separate financial information is available and that is regularly reviewed by the chief operating decision maker (“CODM”), to allocate resources and assess performance. The Company’s CODM is its chief executive officer, who makes operating decisions, assesses performance and allocates resources on a consolidated basis. The Company has one reportable segment.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considers all highly liquid short-term investments with an original maturity of 90 days or less to be cash equivalents. The cash and cash equivalents balance on December 31, 2025, represents cash in readily available checking accounts, money market funds, U.S. treasury securities and commercial paper with an original maturity of 90 days or less.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Short-Term Investments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Company’s short-term investments including short-term time deposit with maturity within 1 year and marketable securities. The Company classifies its marketable securities as available-for-sale securities, which include commercial paper, corporate debt securities and U.S. government agency securities. These securities recorded at fair value with the related unrealized gains and losses included in accumulated other comprehensive loss. Premiums or discounts from par value are amortized to investment income over the life of the underlying investment and are included in ‘interest income’ within the consolidated statement of comprehensive loss. All the Company’s available-for-sale securities are available to the Company for use in current operations. As a result, the Company classified all these securities as current assets even though the stated maturity of some individual securities may be one year or more beyond the balance sheet date.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cost of securities sold is determined on a specific identification basis, and realized gains and losses are included in ‘Net loss’ within the consolidated statement of comprehensive loss. If any adjustment is required to reflect a decline in the value of the investment that the Company considers to be “other than temporary”, the Company recognizes a charge to the consolidated statement of comprehensive loss. No such adjustments were necessary during the periods presented.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Financial instruments that potentially expose the Company to concentrations of credit risk consist primarily of cash, cash equivalents and short-term investments marketable. The Company maintains cash, cash equivalents, and short-term investments at accredited financial institutions and amounts may exceed federally insured limits. The Company has no off-balance sheet concentrations of credit risk, such as foreign currency exchange contracts, option contracts, or other hedging arrangements.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 the year ended December 31, 2025, all revenue was generated from one customer as part of the collaboration agreement described in Note 8.</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left"/>
        <w:rPr>
          <w:b w:val="false"/>
          <w:color w:val="000000"/>
          <w:sz w:val="20"/>
        </w:rPr>
      </w:pPr>
      <w:r>
        <w:rPr>
          <w:b w:val="false"/>
          <w:color w:val="000000"/>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Property, plant and equipment are stated at cost. Depreciation and amortization are calculated using the straight-line method over the following estimated useful lives, considering residual value, if any. The table below sets forth the estimated useful life and residual value:</w:t>
      </w:r>
    </w:p>
    <w:p>
      <w:pPr>
        <w:pStyle w:val="TextBody"/>
        <w:bidi w:val="0"/>
        <w:spacing w:before="0" w:after="0"/>
        <w:jc w:val="left"/>
        <w:rPr>
          <w:sz w:val="20"/>
        </w:rPr>
      </w:pPr>
      <w:r>
        <w:rPr>
          <w:sz w:val="20"/>
        </w:rPr>
      </w:r>
    </w:p>
    <w:p>
      <w:pPr>
        <w:pStyle w:val="TextBody"/>
        <w:bidi w:val="0"/>
        <w:spacing w:before="0" w:after="0"/>
        <w:jc w:val="left"/>
        <w:rPr>
          <w:sz w:val="20"/>
        </w:rPr>
      </w:pPr>
      <w:r>
        <w:rPr>
          <w:sz w:val="20"/>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210050" cy="737870"/>
                <wp:effectExtent l="0" t="0" r="0" b="0"/>
                <wp:wrapSquare wrapText="right"/>
                <wp:docPr id="1" name="Frame1"/>
                <a:graphic xmlns:a="http://schemas.openxmlformats.org/drawingml/2006/main">
                  <a:graphicData uri="http://schemas.microsoft.com/office/word/2010/wordprocessingShape">
                    <wps:wsp>
                      <wps:cNvSpPr txBox="1"/>
                      <wps:spPr>
                        <a:xfrm>
                          <a:off x="0" y="0"/>
                          <a:ext cx="4210050" cy="737870"/>
                        </a:xfrm>
                        <a:prstGeom prst="rect"/>
                        <a:solidFill>
                          <a:srgbClr val="FFFFFF"/>
                        </a:solidFill>
                      </wps:spPr>
                      <wps:txbx>
                        <w:txbxContent>
                          <w:tbl>
                            <w:tblPr>
                              <w:tblW w:w="6630" w:type="dxa"/>
                              <w:jc w:val="left"/>
                              <w:tblInd w:w="0" w:type="dxa"/>
                              <w:tblLayout w:type="fixed"/>
                              <w:tblCellMar>
                                <w:top w:w="0" w:type="dxa"/>
                                <w:left w:w="0" w:type="dxa"/>
                                <w:bottom w:w="28" w:type="dxa"/>
                                <w:right w:w="0" w:type="dxa"/>
                              </w:tblCellMar>
                            </w:tblPr>
                            <w:tblGrid>
                              <w:gridCol w:w="2060"/>
                              <w:gridCol w:w="140"/>
                              <w:gridCol w:w="4430"/>
                            </w:tblGrid>
                            <w:tr>
                              <w:trPr/>
                              <w:tc>
                                <w:tcPr>
                                  <w:tcW w:w="2060" w:type="dxa"/>
                                  <w:tcBorders>
                                    <w:bottom w:val="single" w:sz="12" w:space="0" w:color="000000"/>
                                  </w:tcBorders>
                                  <w:vAlign w:val="center"/>
                                </w:tcPr>
                                <w:p>
                                  <w:pPr>
                                    <w:pStyle w:val="TableContents"/>
                                    <w:bidi w:val="0"/>
                                    <w:spacing w:before="0" w:after="0"/>
                                    <w:jc w:val="left"/>
                                    <w:rPr>
                                      <w:b/>
                                      <w:color w:val="000000"/>
                                      <w:sz w:val="20"/>
                                    </w:rPr>
                                  </w:pPr>
                                  <w:r>
                                    <w:rPr>
                                      <w:b/>
                                      <w:color w:val="000000"/>
                                      <w:sz w:val="20"/>
                                    </w:rPr>
                                    <w:t>Asset Category</w:t>
                                  </w:r>
                                </w:p>
                              </w:tc>
                              <w:tc>
                                <w:tcPr>
                                  <w:tcW w:w="140" w:type="dxa"/>
                                  <w:tcBorders/>
                                  <w:tcMar>
                                    <w:bottom w:w="0" w:type="dxa"/>
                                  </w:tcMar>
                                  <w:vAlign w:val="center"/>
                                </w:tcPr>
                                <w:p>
                                  <w:pPr>
                                    <w:pStyle w:val="TableContents"/>
                                    <w:bidi w:val="0"/>
                                    <w:spacing w:before="0" w:after="0"/>
                                    <w:jc w:val="left"/>
                                    <w:rPr/>
                                  </w:pPr>
                                  <w:r>
                                    <w:rPr/>
                                    <w:t> </w:t>
                                  </w:r>
                                </w:p>
                              </w:tc>
                              <w:tc>
                                <w:tcPr>
                                  <w:tcW w:w="4430" w:type="dxa"/>
                                  <w:tcBorders>
                                    <w:bottom w:val="single" w:sz="12" w:space="0" w:color="000000"/>
                                  </w:tcBorders>
                                  <w:vAlign w:val="center"/>
                                </w:tcPr>
                                <w:p>
                                  <w:pPr>
                                    <w:pStyle w:val="TableContents"/>
                                    <w:bidi w:val="0"/>
                                    <w:spacing w:before="0" w:after="0"/>
                                    <w:jc w:val="left"/>
                                    <w:rPr>
                                      <w:b/>
                                      <w:color w:val="000000"/>
                                      <w:sz w:val="20"/>
                                    </w:rPr>
                                  </w:pPr>
                                  <w:r>
                                    <w:rPr>
                                      <w:b/>
                                      <w:color w:val="000000"/>
                                      <w:sz w:val="20"/>
                                    </w:rPr>
                                    <w:t>Estimated Useful Lives</w:t>
                                  </w:r>
                                </w:p>
                              </w:tc>
                            </w:tr>
                            <w:tr>
                              <w:trPr/>
                              <w:tc>
                                <w:tcPr>
                                  <w:tcW w:w="2060" w:type="dxa"/>
                                  <w:tcBorders/>
                                  <w:shd w:fill="CCEEFF" w:val="clear"/>
                                  <w:tcMar>
                                    <w:bottom w:w="0" w:type="dxa"/>
                                  </w:tcMar>
                                  <w:vAlign w:val="center"/>
                                </w:tcPr>
                                <w:p>
                                  <w:pPr>
                                    <w:pStyle w:val="TableContents"/>
                                    <w:bidi w:val="0"/>
                                    <w:spacing w:before="0" w:after="0"/>
                                    <w:jc w:val="left"/>
                                    <w:rPr>
                                      <w:color w:val="000000"/>
                                      <w:sz w:val="20"/>
                                    </w:rPr>
                                  </w:pPr>
                                  <w:r>
                                    <w:rPr>
                                      <w:color w:val="000000"/>
                                      <w:sz w:val="20"/>
                                    </w:rPr>
                                    <w:t>Furniture and fixtures</w:t>
                                  </w:r>
                                </w:p>
                              </w:tc>
                              <w:tc>
                                <w:tcPr>
                                  <w:tcW w:w="140" w:type="dxa"/>
                                  <w:tcBorders/>
                                  <w:shd w:fill="CCEEFF" w:val="clear"/>
                                  <w:tcMar>
                                    <w:bottom w:w="0" w:type="dxa"/>
                                  </w:tcMar>
                                  <w:vAlign w:val="center"/>
                                </w:tcPr>
                                <w:p>
                                  <w:pPr>
                                    <w:pStyle w:val="TableContents"/>
                                    <w:bidi w:val="0"/>
                                    <w:spacing w:before="0" w:after="0"/>
                                    <w:jc w:val="left"/>
                                    <w:rPr/>
                                  </w:pPr>
                                  <w:r>
                                    <w:rPr/>
                                    <w:t> </w:t>
                                  </w:r>
                                </w:p>
                              </w:tc>
                              <w:tc>
                                <w:tcPr>
                                  <w:tcW w:w="4430" w:type="dxa"/>
                                  <w:tcBorders/>
                                  <w:shd w:fill="CCEEFF" w:val="clear"/>
                                  <w:tcMar>
                                    <w:bottom w:w="0" w:type="dxa"/>
                                  </w:tcMar>
                                  <w:vAlign w:val="center"/>
                                </w:tcPr>
                                <w:p>
                                  <w:pPr>
                                    <w:pStyle w:val="TableContents"/>
                                    <w:bidi w:val="0"/>
                                    <w:spacing w:before="0" w:after="0"/>
                                    <w:jc w:val="left"/>
                                    <w:rPr>
                                      <w:color w:val="000000"/>
                                      <w:sz w:val="20"/>
                                    </w:rPr>
                                  </w:pPr>
                                  <w:r>
                                    <w:rPr>
                                      <w:color w:val="000000"/>
                                      <w:sz w:val="20"/>
                                    </w:rPr>
                                    <w:t>5-10 years</w:t>
                                  </w:r>
                                </w:p>
                              </w:tc>
                            </w:tr>
                            <w:tr>
                              <w:trPr/>
                              <w:tc>
                                <w:tcPr>
                                  <w:tcW w:w="2060" w:type="dxa"/>
                                  <w:tcBorders/>
                                  <w:tcMar>
                                    <w:bottom w:w="0" w:type="dxa"/>
                                  </w:tcMar>
                                  <w:vAlign w:val="center"/>
                                </w:tcPr>
                                <w:p>
                                  <w:pPr>
                                    <w:pStyle w:val="TableContents"/>
                                    <w:bidi w:val="0"/>
                                    <w:spacing w:before="0" w:after="0"/>
                                    <w:jc w:val="left"/>
                                    <w:rPr>
                                      <w:color w:val="000000"/>
                                      <w:sz w:val="20"/>
                                    </w:rPr>
                                  </w:pPr>
                                  <w:r>
                                    <w:rPr>
                                      <w:color w:val="000000"/>
                                      <w:sz w:val="20"/>
                                    </w:rPr>
                                    <w:t>Equipment</w:t>
                                  </w:r>
                                </w:p>
                              </w:tc>
                              <w:tc>
                                <w:tcPr>
                                  <w:tcW w:w="140" w:type="dxa"/>
                                  <w:tcBorders/>
                                  <w:tcMar>
                                    <w:bottom w:w="0" w:type="dxa"/>
                                  </w:tcMar>
                                  <w:vAlign w:val="center"/>
                                </w:tcPr>
                                <w:p>
                                  <w:pPr>
                                    <w:pStyle w:val="TableContents"/>
                                    <w:bidi w:val="0"/>
                                    <w:spacing w:before="0" w:after="0"/>
                                    <w:jc w:val="left"/>
                                    <w:rPr/>
                                  </w:pPr>
                                  <w:r>
                                    <w:rPr/>
                                    <w:t> </w:t>
                                  </w:r>
                                </w:p>
                              </w:tc>
                              <w:tc>
                                <w:tcPr>
                                  <w:tcW w:w="4430" w:type="dxa"/>
                                  <w:tcBorders/>
                                  <w:tcMar>
                                    <w:bottom w:w="0" w:type="dxa"/>
                                  </w:tcMar>
                                  <w:vAlign w:val="center"/>
                                </w:tcPr>
                                <w:p>
                                  <w:pPr>
                                    <w:pStyle w:val="TableContents"/>
                                    <w:bidi w:val="0"/>
                                    <w:spacing w:before="0" w:after="0"/>
                                    <w:jc w:val="left"/>
                                    <w:rPr>
                                      <w:color w:val="000000"/>
                                      <w:sz w:val="20"/>
                                    </w:rPr>
                                  </w:pPr>
                                  <w:r>
                                    <w:rPr>
                                      <w:color w:val="000000"/>
                                      <w:sz w:val="20"/>
                                    </w:rPr>
                                    <w:t>5-10 years</w:t>
                                  </w:r>
                                </w:p>
                              </w:tc>
                            </w:tr>
                            <w:tr>
                              <w:trPr/>
                              <w:tc>
                                <w:tcPr>
                                  <w:tcW w:w="2060" w:type="dxa"/>
                                  <w:tcBorders/>
                                  <w:shd w:fill="CCEEFF" w:val="clear"/>
                                  <w:tcMar>
                                    <w:bottom w:w="0" w:type="dxa"/>
                                  </w:tcMar>
                                  <w:vAlign w:val="center"/>
                                </w:tcPr>
                                <w:p>
                                  <w:pPr>
                                    <w:pStyle w:val="TableContents"/>
                                    <w:bidi w:val="0"/>
                                    <w:spacing w:before="0" w:after="0"/>
                                    <w:jc w:val="left"/>
                                    <w:rPr>
                                      <w:color w:val="000000"/>
                                      <w:sz w:val="20"/>
                                    </w:rPr>
                                  </w:pPr>
                                  <w:r>
                                    <w:rPr>
                                      <w:color w:val="000000"/>
                                      <w:sz w:val="20"/>
                                    </w:rPr>
                                    <w:t>Leasehold improvements</w:t>
                                  </w:r>
                                </w:p>
                              </w:tc>
                              <w:tc>
                                <w:tcPr>
                                  <w:tcW w:w="140" w:type="dxa"/>
                                  <w:tcBorders/>
                                  <w:shd w:fill="CCEEFF" w:val="clear"/>
                                  <w:tcMar>
                                    <w:bottom w:w="0" w:type="dxa"/>
                                  </w:tcMar>
                                  <w:vAlign w:val="center"/>
                                </w:tcPr>
                                <w:p>
                                  <w:pPr>
                                    <w:pStyle w:val="TableContents"/>
                                    <w:bidi w:val="0"/>
                                    <w:spacing w:before="0" w:after="0"/>
                                    <w:jc w:val="left"/>
                                    <w:rPr/>
                                  </w:pPr>
                                  <w:r>
                                    <w:rPr/>
                                    <w:t> </w:t>
                                  </w:r>
                                </w:p>
                              </w:tc>
                              <w:tc>
                                <w:tcPr>
                                  <w:tcW w:w="4430" w:type="dxa"/>
                                  <w:tcBorders/>
                                  <w:shd w:fill="CCEEFF" w:val="clear"/>
                                  <w:tcMar>
                                    <w:bottom w:w="0" w:type="dxa"/>
                                  </w:tcMar>
                                  <w:vAlign w:val="center"/>
                                </w:tcPr>
                                <w:p>
                                  <w:pPr>
                                    <w:pStyle w:val="TableContents"/>
                                    <w:bidi w:val="0"/>
                                    <w:spacing w:before="0" w:after="0"/>
                                    <w:jc w:val="left"/>
                                    <w:rPr>
                                      <w:color w:val="000000"/>
                                      <w:sz w:val="20"/>
                                    </w:rPr>
                                  </w:pPr>
                                  <w:r>
                                    <w:rPr>
                                      <w:color w:val="000000"/>
                                      <w:sz w:val="20"/>
                                    </w:rPr>
                                    <w:t>Shorter of estimated useful life or remaining lease term</w:t>
                                  </w:r>
                                </w:p>
                              </w:tc>
                            </w:tr>
                          </w:tbl>
                        </w:txbxContent>
                      </wps:txbx>
                      <wps:bodyPr anchor="t" lIns="0" tIns="0" rIns="0" bIns="0">
                        <a:noAutofit/>
                      </wps:bodyPr>
                    </wps:wsp>
                  </a:graphicData>
                </a:graphic>
              </wp:anchor>
            </w:drawing>
          </mc:Choice>
          <mc:Fallback>
            <w:pict>
              <v:rect style="position:absolute;rotation:-0;width:331.5pt;height:58.1pt;mso-wrap-distance-left:0pt;mso-wrap-distance-right:0pt;mso-wrap-distance-top:0pt;mso-wrap-distance-bottom:0pt;margin-top:0pt;mso-position-vertical:top;mso-position-vertical-relative:text;margin-left:0pt;mso-position-horizontal:left;mso-position-horizontal-relative:text">
                <v:textbox>
                  <w:txbxContent>
                    <w:tbl>
                      <w:tblPr>
                        <w:tblW w:w="6630" w:type="dxa"/>
                        <w:jc w:val="left"/>
                        <w:tblInd w:w="0" w:type="dxa"/>
                        <w:tblLayout w:type="fixed"/>
                        <w:tblCellMar>
                          <w:top w:w="0" w:type="dxa"/>
                          <w:left w:w="0" w:type="dxa"/>
                          <w:bottom w:w="28" w:type="dxa"/>
                          <w:right w:w="0" w:type="dxa"/>
                        </w:tblCellMar>
                      </w:tblPr>
                      <w:tblGrid>
                        <w:gridCol w:w="2060"/>
                        <w:gridCol w:w="140"/>
                        <w:gridCol w:w="4430"/>
                      </w:tblGrid>
                      <w:tr>
                        <w:trPr/>
                        <w:tc>
                          <w:tcPr>
                            <w:tcW w:w="2060" w:type="dxa"/>
                            <w:tcBorders>
                              <w:bottom w:val="single" w:sz="12" w:space="0" w:color="000000"/>
                            </w:tcBorders>
                            <w:vAlign w:val="center"/>
                          </w:tcPr>
                          <w:p>
                            <w:pPr>
                              <w:pStyle w:val="TableContents"/>
                              <w:bidi w:val="0"/>
                              <w:spacing w:before="0" w:after="0"/>
                              <w:jc w:val="left"/>
                              <w:rPr>
                                <w:b/>
                                <w:color w:val="000000"/>
                                <w:sz w:val="20"/>
                              </w:rPr>
                            </w:pPr>
                            <w:r>
                              <w:rPr>
                                <w:b/>
                                <w:color w:val="000000"/>
                                <w:sz w:val="20"/>
                              </w:rPr>
                              <w:t>Asset Category</w:t>
                            </w:r>
                          </w:p>
                        </w:tc>
                        <w:tc>
                          <w:tcPr>
                            <w:tcW w:w="140" w:type="dxa"/>
                            <w:tcBorders/>
                            <w:tcMar>
                              <w:bottom w:w="0" w:type="dxa"/>
                            </w:tcMar>
                            <w:vAlign w:val="center"/>
                          </w:tcPr>
                          <w:p>
                            <w:pPr>
                              <w:pStyle w:val="TableContents"/>
                              <w:bidi w:val="0"/>
                              <w:spacing w:before="0" w:after="0"/>
                              <w:jc w:val="left"/>
                              <w:rPr/>
                            </w:pPr>
                            <w:r>
                              <w:rPr/>
                              <w:t> </w:t>
                            </w:r>
                          </w:p>
                        </w:tc>
                        <w:tc>
                          <w:tcPr>
                            <w:tcW w:w="4430" w:type="dxa"/>
                            <w:tcBorders>
                              <w:bottom w:val="single" w:sz="12" w:space="0" w:color="000000"/>
                            </w:tcBorders>
                            <w:vAlign w:val="center"/>
                          </w:tcPr>
                          <w:p>
                            <w:pPr>
                              <w:pStyle w:val="TableContents"/>
                              <w:bidi w:val="0"/>
                              <w:spacing w:before="0" w:after="0"/>
                              <w:jc w:val="left"/>
                              <w:rPr>
                                <w:b/>
                                <w:color w:val="000000"/>
                                <w:sz w:val="20"/>
                              </w:rPr>
                            </w:pPr>
                            <w:r>
                              <w:rPr>
                                <w:b/>
                                <w:color w:val="000000"/>
                                <w:sz w:val="20"/>
                              </w:rPr>
                              <w:t>Estimated Useful Lives</w:t>
                            </w:r>
                          </w:p>
                        </w:tc>
                      </w:tr>
                      <w:tr>
                        <w:trPr/>
                        <w:tc>
                          <w:tcPr>
                            <w:tcW w:w="2060" w:type="dxa"/>
                            <w:tcBorders/>
                            <w:shd w:fill="CCEEFF" w:val="clear"/>
                            <w:tcMar>
                              <w:bottom w:w="0" w:type="dxa"/>
                            </w:tcMar>
                            <w:vAlign w:val="center"/>
                          </w:tcPr>
                          <w:p>
                            <w:pPr>
                              <w:pStyle w:val="TableContents"/>
                              <w:bidi w:val="0"/>
                              <w:spacing w:before="0" w:after="0"/>
                              <w:jc w:val="left"/>
                              <w:rPr>
                                <w:color w:val="000000"/>
                                <w:sz w:val="20"/>
                              </w:rPr>
                            </w:pPr>
                            <w:r>
                              <w:rPr>
                                <w:color w:val="000000"/>
                                <w:sz w:val="20"/>
                              </w:rPr>
                              <w:t>Furniture and fixtures</w:t>
                            </w:r>
                          </w:p>
                        </w:tc>
                        <w:tc>
                          <w:tcPr>
                            <w:tcW w:w="140" w:type="dxa"/>
                            <w:tcBorders/>
                            <w:shd w:fill="CCEEFF" w:val="clear"/>
                            <w:tcMar>
                              <w:bottom w:w="0" w:type="dxa"/>
                            </w:tcMar>
                            <w:vAlign w:val="center"/>
                          </w:tcPr>
                          <w:p>
                            <w:pPr>
                              <w:pStyle w:val="TableContents"/>
                              <w:bidi w:val="0"/>
                              <w:spacing w:before="0" w:after="0"/>
                              <w:jc w:val="left"/>
                              <w:rPr/>
                            </w:pPr>
                            <w:r>
                              <w:rPr/>
                              <w:t> </w:t>
                            </w:r>
                          </w:p>
                        </w:tc>
                        <w:tc>
                          <w:tcPr>
                            <w:tcW w:w="4430" w:type="dxa"/>
                            <w:tcBorders/>
                            <w:shd w:fill="CCEEFF" w:val="clear"/>
                            <w:tcMar>
                              <w:bottom w:w="0" w:type="dxa"/>
                            </w:tcMar>
                            <w:vAlign w:val="center"/>
                          </w:tcPr>
                          <w:p>
                            <w:pPr>
                              <w:pStyle w:val="TableContents"/>
                              <w:bidi w:val="0"/>
                              <w:spacing w:before="0" w:after="0"/>
                              <w:jc w:val="left"/>
                              <w:rPr>
                                <w:color w:val="000000"/>
                                <w:sz w:val="20"/>
                              </w:rPr>
                            </w:pPr>
                            <w:r>
                              <w:rPr>
                                <w:color w:val="000000"/>
                                <w:sz w:val="20"/>
                              </w:rPr>
                              <w:t>5-10 years</w:t>
                            </w:r>
                          </w:p>
                        </w:tc>
                      </w:tr>
                      <w:tr>
                        <w:trPr/>
                        <w:tc>
                          <w:tcPr>
                            <w:tcW w:w="2060" w:type="dxa"/>
                            <w:tcBorders/>
                            <w:tcMar>
                              <w:bottom w:w="0" w:type="dxa"/>
                            </w:tcMar>
                            <w:vAlign w:val="center"/>
                          </w:tcPr>
                          <w:p>
                            <w:pPr>
                              <w:pStyle w:val="TableContents"/>
                              <w:bidi w:val="0"/>
                              <w:spacing w:before="0" w:after="0"/>
                              <w:jc w:val="left"/>
                              <w:rPr>
                                <w:color w:val="000000"/>
                                <w:sz w:val="20"/>
                              </w:rPr>
                            </w:pPr>
                            <w:r>
                              <w:rPr>
                                <w:color w:val="000000"/>
                                <w:sz w:val="20"/>
                              </w:rPr>
                              <w:t>Equipment</w:t>
                            </w:r>
                          </w:p>
                        </w:tc>
                        <w:tc>
                          <w:tcPr>
                            <w:tcW w:w="140" w:type="dxa"/>
                            <w:tcBorders/>
                            <w:tcMar>
                              <w:bottom w:w="0" w:type="dxa"/>
                            </w:tcMar>
                            <w:vAlign w:val="center"/>
                          </w:tcPr>
                          <w:p>
                            <w:pPr>
                              <w:pStyle w:val="TableContents"/>
                              <w:bidi w:val="0"/>
                              <w:spacing w:before="0" w:after="0"/>
                              <w:jc w:val="left"/>
                              <w:rPr/>
                            </w:pPr>
                            <w:r>
                              <w:rPr/>
                              <w:t> </w:t>
                            </w:r>
                          </w:p>
                        </w:tc>
                        <w:tc>
                          <w:tcPr>
                            <w:tcW w:w="4430" w:type="dxa"/>
                            <w:tcBorders/>
                            <w:tcMar>
                              <w:bottom w:w="0" w:type="dxa"/>
                            </w:tcMar>
                            <w:vAlign w:val="center"/>
                          </w:tcPr>
                          <w:p>
                            <w:pPr>
                              <w:pStyle w:val="TableContents"/>
                              <w:bidi w:val="0"/>
                              <w:spacing w:before="0" w:after="0"/>
                              <w:jc w:val="left"/>
                              <w:rPr>
                                <w:color w:val="000000"/>
                                <w:sz w:val="20"/>
                              </w:rPr>
                            </w:pPr>
                            <w:r>
                              <w:rPr>
                                <w:color w:val="000000"/>
                                <w:sz w:val="20"/>
                              </w:rPr>
                              <w:t>5-10 years</w:t>
                            </w:r>
                          </w:p>
                        </w:tc>
                      </w:tr>
                      <w:tr>
                        <w:trPr/>
                        <w:tc>
                          <w:tcPr>
                            <w:tcW w:w="2060" w:type="dxa"/>
                            <w:tcBorders/>
                            <w:shd w:fill="CCEEFF" w:val="clear"/>
                            <w:tcMar>
                              <w:bottom w:w="0" w:type="dxa"/>
                            </w:tcMar>
                            <w:vAlign w:val="center"/>
                          </w:tcPr>
                          <w:p>
                            <w:pPr>
                              <w:pStyle w:val="TableContents"/>
                              <w:bidi w:val="0"/>
                              <w:spacing w:before="0" w:after="0"/>
                              <w:jc w:val="left"/>
                              <w:rPr>
                                <w:color w:val="000000"/>
                                <w:sz w:val="20"/>
                              </w:rPr>
                            </w:pPr>
                            <w:r>
                              <w:rPr>
                                <w:color w:val="000000"/>
                                <w:sz w:val="20"/>
                              </w:rPr>
                              <w:t>Leasehold improvements</w:t>
                            </w:r>
                          </w:p>
                        </w:tc>
                        <w:tc>
                          <w:tcPr>
                            <w:tcW w:w="140" w:type="dxa"/>
                            <w:tcBorders/>
                            <w:shd w:fill="CCEEFF" w:val="clear"/>
                            <w:tcMar>
                              <w:bottom w:w="0" w:type="dxa"/>
                            </w:tcMar>
                            <w:vAlign w:val="center"/>
                          </w:tcPr>
                          <w:p>
                            <w:pPr>
                              <w:pStyle w:val="TableContents"/>
                              <w:bidi w:val="0"/>
                              <w:spacing w:before="0" w:after="0"/>
                              <w:jc w:val="left"/>
                              <w:rPr/>
                            </w:pPr>
                            <w:r>
                              <w:rPr/>
                              <w:t> </w:t>
                            </w:r>
                          </w:p>
                        </w:tc>
                        <w:tc>
                          <w:tcPr>
                            <w:tcW w:w="4430" w:type="dxa"/>
                            <w:tcBorders/>
                            <w:shd w:fill="CCEEFF" w:val="clear"/>
                            <w:tcMar>
                              <w:bottom w:w="0" w:type="dxa"/>
                            </w:tcMar>
                            <w:vAlign w:val="center"/>
                          </w:tcPr>
                          <w:p>
                            <w:pPr>
                              <w:pStyle w:val="TableContents"/>
                              <w:bidi w:val="0"/>
                              <w:spacing w:before="0" w:after="0"/>
                              <w:jc w:val="left"/>
                              <w:rPr>
                                <w:color w:val="000000"/>
                                <w:sz w:val="20"/>
                              </w:rPr>
                            </w:pPr>
                            <w:r>
                              <w:rPr>
                                <w:color w:val="000000"/>
                                <w:sz w:val="20"/>
                              </w:rPr>
                              <w:t>Shorter of estimated useful life or remaining lease term</w:t>
                            </w:r>
                          </w:p>
                        </w:tc>
                      </w:tr>
                    </w:tbl>
                  </w:txbxContent>
                </v:textbox>
                <w10:wrap type="square" side="right"/>
              </v:rect>
            </w:pict>
          </mc:Fallback>
        </mc:AlternateConten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Expenditures for maintenance and repairs are expensed as incurred. Upon retirement or sale, the cost of assets disposed of the related accumulated depreciation/amortization are removed from the accounts and any resulting gain or loss is recognized in the consolidated statement of comprehensive loss.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Direct costs that are related to the construction of property and equipment, and incurred in connection with bringing the assets to their intended use are capitalized as construction in progress. Construction in progress is transferred to specific property and equipment, and the depreciation of these assets commences when the assets are ready for their intended use.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evaluates the recoverability of its long-lived assets for impairment whenever events or changes in circumstances indicate the carrying value of an asset may not be recoverable. When these events occur, the Company compares the carrying amount of the assets against the estimated undiscounted future cash flows expected to result from the use of the assets and their eventual disposition. Long-lived assets are grouped with other assets and liabilities at the lowest level for which identifiable cash flows are largely independent of the cash flows of other assets and liabilities. When the sum of the estimated undiscounted future cash flows is less than the carrying value of the assets being evaluated, the Company recognizes an impairment loss based on the excess of the carrying value of the assets over their fair value. Fair value is generally determined by discounting the cash flows expected to be generated by the assets when the market prices are not readily available. The adjusted carrying amount of the assets is the new cost basis and is depreciated over the assets’ remaining useful lives. No impairment loss was recognized for the year ended December 31, 2025.</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When the Company enters into collaboration agreements, it assesses whether the arrangements fall within the scope of ASC 808, </w:t>
      </w:r>
      <w:r>
        <w:rPr>
          <w:rFonts w:ascii="Times New Roman" w:hAnsi="Times New Roman"/>
          <w:i/>
          <w:color w:val="000000"/>
          <w:sz w:val="20"/>
        </w:rPr>
        <w:t>Collaborative Arrangements</w:t>
      </w:r>
      <w:r>
        <w:rPr>
          <w:rFonts w:ascii="Times New Roman" w:hAnsi="Times New Roman"/>
          <w:color w:val="000000"/>
          <w:sz w:val="20"/>
        </w:rPr>
        <w:t xml:space="preserve"> (“ASC 808”) based on whether the arrangements involve joint operating activities and whether both parties have active participation in the arrangement and are exposed to significant risks and rewards. To the extent that the arrangement falls within the scope of ASC 808, the Company assesses whether the payments between the Company and its collaboration partner fall within the scope of other accounting literature. If it concludes that payments from the collaboration partner to the Company represent consideration from a customer, such as license fees and contract research and development activities, the Company accounts for those payments within the scope of Accounting Standards Update (ASU) No. 2014-09 (Topic 606), </w:t>
      </w:r>
      <w:r>
        <w:rPr>
          <w:rFonts w:ascii="Times New Roman" w:hAnsi="Times New Roman"/>
          <w:i/>
          <w:color w:val="000000"/>
          <w:sz w:val="20"/>
        </w:rPr>
        <w:t xml:space="preserve">Revenue from Contracts with Customers </w:t>
      </w:r>
      <w:r>
        <w:rPr>
          <w:rFonts w:ascii="Times New Roman" w:hAnsi="Times New Roman"/>
          <w:color w:val="000000"/>
          <w:sz w:val="20"/>
        </w:rPr>
        <w:t>(“ASC 606”).</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has no products approved for commercial sales and has not generated any revenue from commercial product sales. The total revenue to date has been generated principally from collaboration and license agreement.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Collaboration Revenue: The Company derives revenue from collaboration arrangements, under which the Company may grant licenses to its collaboration partners to further develop and commercialize its proprietary product candidates. The Company may also perform research and development activities under the collaboration agreements. Consideration under these contracts generally includes a nonrefundable upfront payment, development, regulatory and commercial milestones and other contingent payments, and royalties.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assesses which activities in the collaboration agreements are considered distinct performance obligations that should be accounted for separately.</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 the inception of each agreement, the Company determines the arrangement transaction price, which includes variable considerations, based on the assessment of the probability of achievement of future milestones and contingent payments and other potential considerations.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 arrangements that include multiple performance obligations, the Company allocates the transaction price to the identified performance obligations based on the standalone selling price, or SSP, of each distinct performance obligation. In instances where SSP is not directly observable, the Company develops assumptions that require judgment to determine the SSP for each performance obligation identified in the contract. These key assumptions may include full-time equivalent, or FTE, personnel effort, estimated costs, discount rates and probabilities of clinical development and regulatory success.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Upfront Payments: For collaboration arrangements that include a nonrefundable upfront payment, if the license fee and research and development services cannot be accounted for as separate performance obligations, the transaction price is deferred and recognized as revenue over time by measuring its progress towards the complete satisfaction of the relevant performance obligation using an appropriate input or output method based on the nature of the service promised to the customer. The Company uses judgement to assess the pattern of delivery of the performance obligation.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Research and Development Services: For amounts allocated to the Company’s research and development obligations in a collaboration arrangement, the Company recognizes revenue over time as delivery or performance of such services occurred.</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Milestone and Contingent Payments: At the inception of the arrangement and at each reporting date thereafter, the Company assesses whether it should include any milestone and contingent payments or other forms of variable consideration in the transaction price using the most likely amount method. If it is probable that a significant reversal of cumulative revenue would not occur upon resolution of the uncertainty, the associated milestone value is included in the transaction price. At the end of each subsequent reporting period, the Company re-evaluates the probability of achievement of each milestone and any related constraint and, if necessary, adjusts its estimate of the overall transaction price. Since milestone and contingent payments may become payable to the Company upon the initiation of a clinical study or filing for or receipt of regulatory approval, the Company reviews the relevant facts and circumstances to determine when the Company should update the transaction price, which may occur before the triggering event. When the Company updates the transaction price for milestone and contingent payments, the Company allocates the changes in the total transaction price to each performance obligation in the agreement on the same basis as the initial allocation. Any such adjustments are recorded on a cumulative catch-up basis in the period of adjustment, which may result in recognizing revenue for previously satisfied performance obligations in such period. The Company’s collaborators generally pay milestones and contingent payments after the achievement of the triggering event.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Revenue subject to governmental withholding taxes is recognized on a gross basis with the withholding taxes recorded as a component of income tax expense.</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b/>
          <w:sz w:val="20"/>
        </w:rPr>
      </w:pPr>
      <w:r>
        <w:rPr>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records accrued expenses for estimated costs of the research and development activities conducted by third party service providers, which include outsourced research and development expenses, stock-based compensation and professional services. The Company records the estimated costs of research and development activities based upon the estimated amount of services provided but not yet invoiced, and includes these costs in current liabilities and within research and development expense.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Nonrefundable advance payments for goods or services that will be used or rendered for future research and development activities are deferred and capitalized and recognized as an expense as the goods are delivered or the related services are performed.</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 outsourced research and development expenses, such as professional fees payable to third parties for preclinical studies, clinical trials and research services and other consulting costs, the Company estimates the expenses based on the services performed, pursuant to contracts with research institutions that conduct and manage preclinical studies, clinical trials and research services on the Company’s behalf. The Company estimates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the Company will adjust the accrual accordingly. Payments made to third parties under these arrangements in advance of the performance of the related services by the third parties are recorded as prepaid expenses until the services are rendered.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General and administrative expenses consist primarily of personnel and related costs for the Company’s executive, finance, legal, human resources, and administrative personnel, including salaries, benefits, stock-based compensation, and bonuses; legal, accounting, and other professional service fees; other corporate expenses including employee business expenses, facilities expense as well as information technology costs.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Certain assets and liabilities are carried at fair value under U.S. GAAP.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before="0" w:after="0"/>
        <w:jc w:val="left"/>
        <w:rPr>
          <w:sz w:val="20"/>
        </w:rPr>
      </w:pPr>
      <w:r>
        <w:rPr>
          <w:sz w:val="20"/>
        </w:rPr>
      </w:r>
    </w:p>
    <w:p>
      <w:pPr>
        <w:pStyle w:val="TextBody"/>
        <w:bidi w:val="0"/>
        <w:spacing w:before="0" w:after="0"/>
        <w:ind w:left="400" w:right="0" w:hanging="0"/>
        <w:jc w:val="left"/>
        <w:rPr>
          <w:rFonts w:ascii="Times New Roman" w:hAnsi="Times New Roman"/>
          <w:i/>
          <w:color w:val="000000"/>
          <w:sz w:val="20"/>
        </w:rPr>
      </w:pPr>
      <w:r>
        <w:rPr>
          <w:rFonts w:ascii="Times New Roman" w:hAnsi="Times New Roman"/>
          <w:i/>
          <w:color w:val="000000"/>
          <w:sz w:val="20"/>
        </w:rPr>
        <w:t>Level 1 — This level consists of quoted prices in active markets for identical assets or liabilities.</w:t>
      </w:r>
    </w:p>
    <w:p>
      <w:pPr>
        <w:pStyle w:val="TextBody"/>
        <w:bidi w:val="0"/>
        <w:spacing w:before="0" w:after="0"/>
        <w:jc w:val="left"/>
        <w:rPr>
          <w:color w:val="000000"/>
        </w:rPr>
      </w:pPr>
      <w:r>
        <w:rPr>
          <w:color w:val="000000"/>
        </w:rPr>
        <w:t> </w:t>
      </w:r>
    </w:p>
    <w:p>
      <w:pPr>
        <w:pStyle w:val="TextBody"/>
        <w:bidi w:val="0"/>
        <w:spacing w:before="0" w:after="0"/>
        <w:ind w:left="400" w:right="0" w:hanging="0"/>
        <w:jc w:val="left"/>
        <w:rPr>
          <w:rFonts w:ascii="Times New Roman" w:hAnsi="Times New Roman"/>
          <w:i/>
          <w:color w:val="000000"/>
          <w:sz w:val="20"/>
        </w:rPr>
      </w:pPr>
      <w:r>
        <w:rPr>
          <w:rFonts w:ascii="Times New Roman" w:hAnsi="Times New Roman"/>
          <w:i/>
          <w:color w:val="000000"/>
          <w:sz w:val="20"/>
        </w:rPr>
        <w:t>Level 2 — This level consists of quoted prices in markets that are not considered to be active or financial instruments for which all significant inputs are observable, either directly or indirectly.</w:t>
      </w:r>
    </w:p>
    <w:p>
      <w:pPr>
        <w:pStyle w:val="TextBody"/>
        <w:bidi w:val="0"/>
        <w:spacing w:before="0" w:after="0"/>
        <w:jc w:val="left"/>
        <w:rPr>
          <w:color w:val="000000"/>
        </w:rPr>
      </w:pPr>
      <w:r>
        <w:rPr>
          <w:color w:val="000000"/>
        </w:rPr>
        <w:t> </w:t>
      </w:r>
    </w:p>
    <w:p>
      <w:pPr>
        <w:pStyle w:val="TextBody"/>
        <w:bidi w:val="0"/>
        <w:spacing w:before="0" w:after="0"/>
        <w:ind w:left="400" w:right="0" w:hanging="0"/>
        <w:jc w:val="left"/>
        <w:rPr>
          <w:rFonts w:ascii="Times New Roman" w:hAnsi="Times New Roman"/>
          <w:i/>
          <w:color w:val="000000"/>
          <w:sz w:val="20"/>
        </w:rPr>
      </w:pPr>
      <w:r>
        <w:rPr>
          <w:rFonts w:ascii="Times New Roman" w:hAnsi="Times New Roman"/>
          <w:i/>
          <w:color w:val="000000"/>
          <w:sz w:val="20"/>
        </w:rPr>
        <w:t>Level 3 — This level consists of unobservable inputs in situations where there is little or no market activity of the asset and liability, and the reporting entity makes estimates of assumptions relating to the pricing of the asset or liability, including assumptions regarding risk.</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Company’s cash equivalents, short-term investments and preferred stock warrant liabilities are carried at fair value, determined according to the fair value hierarchy described above. The carrying values reported in the Company’s consolidated balance sheet for cash, accounts payable, and accrued expenses are reasonable estimates of their fair values due to the short-term nature of these items.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b/>
          <w:sz w:val="20"/>
        </w:rPr>
      </w:pPr>
      <w:r>
        <w:rPr>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 accounts for leases under ASU 2016-02, </w:t>
      </w:r>
      <w:r>
        <w:rPr>
          <w:rFonts w:ascii="Times New Roman" w:hAnsi="Times New Roman"/>
          <w:i/>
          <w:color w:val="000000"/>
          <w:sz w:val="20"/>
        </w:rPr>
        <w:t>Leases (Topic 842)</w:t>
      </w:r>
      <w:r>
        <w:rPr>
          <w:rFonts w:ascii="Times New Roman" w:hAnsi="Times New Roman"/>
          <w:color w:val="000000"/>
          <w:sz w:val="20"/>
        </w:rPr>
        <w:t>. The Company determines if an arrangement includes a lease at inception. Right-of-use assets and lease liabilities are recognized based on the present value of the future minimum lease payments over the lease term at the commencement date. The right-of-use asset includes any lease payments made on or before the lease commencement date, less lease incentives received. The incremental borrowing rate is used in determining the present value of future payments. The Company utilizes its incremental borrowing rate, which is the rate incurred to borrow on a collateralized basis over a similar term an amount equal to the lease payments in a similar economic environment. The determination of the Company’s incremental borrowing rate requires judgment, and the Company considers various factors, including level of collateralization, estimated credit rating, and the currency in which the lease is denominated. The lease terms may include options to extend or terminate the lease. Lease expense for operating leases is recognized on a straight-line basis over the non-cancelable lease term. Variable lease expense relates primarily to office lease common area maintenance, insurance, and property taxes, is expensed as incurred, and is excluded from the calculation of the lease liability and right-of-use asset. The Company does not have any finance leases.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has elected not to recognize a right-of-use asset and lease liability for short-term leases. A short-term lease is a lease with an expected lease term of 12 months or less and which does not include an option to purchase the underlying asset that the lessee is reasonably certain to exercise. Lease agreements that include lease and non-lease components are accounted for as a single lease component.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Employee share-based awards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 accounts for its share-based payments in accordance with ASC 718, </w:t>
      </w:r>
      <w:r>
        <w:rPr>
          <w:rFonts w:ascii="Times New Roman" w:hAnsi="Times New Roman"/>
          <w:i/>
          <w:color w:val="000000"/>
          <w:sz w:val="20"/>
        </w:rPr>
        <w:t xml:space="preserve">Compensation — Stock Compensation </w:t>
      </w:r>
      <w:r>
        <w:rPr>
          <w:rFonts w:ascii="Times New Roman" w:hAnsi="Times New Roman"/>
          <w:color w:val="000000"/>
          <w:sz w:val="20"/>
        </w:rPr>
        <w:t>(“ASC 718”). The Company determines whether an award should be classified and accounted for as a liability award or equity award. With the assistance of an independent third-party valuation firm, the Company determines the grant-date fair value of the share-based awards to measure share-based compensation cost. In accordance with ASC 718, the Company recognizes share-based compensation cost for equity awards with a performance condition based on the probable outcome of that performance condition. Compensation cost is only recognized if it is probable that the performance condition will be achieved and shall not be recognized if it is not probable that the performance condition will be achieved. The Company accounts for forfeitures as they occur. For awards with graded vesting that vest based solely on a service condition, the Company uses the straight-line method to recognize compensation cost.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Cancellation of awards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cancellation of an award that is not accompanied by the concurrent grant of (or offer to grant) a replacement award or other valuable consideration shall be accounted for as a repurchase for no consideration. Accordingly, any previously unrecognized compensation cost shall be recognized immediately at the cancellation date.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Modification of awards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change in any of the terms or conditions of the awards is accounted for as a modification of the award. When the vesting conditions (or other terms) of the share-based awards are modified, the Company first determines on the modification date whether the original vesting conditions were expected to be satisfied, regardless of the entity’s policy election for accounting for forfeitures. If the original vesting conditions are expected to be satisfied, the Company will recognize the remaining unrecognized compensation cost for the original award over the remaining requisite service period based on the grant-date fair value of the original award. If the original vesting conditions are not expected to be satisfied, the grant-date fair value of the original equity awards is ignored and the fair value of the equity award measured at the modification date is recognized if the modified award ultimately vests.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Classification and Accretion of Redeemable Convertible Preferred Stock</w:t>
      </w:r>
    </w:p>
    <w:p>
      <w:pPr>
        <w:pStyle w:val="TextBody"/>
        <w:bidi w:val="0"/>
        <w:jc w:val="left"/>
        <w:rPr>
          <w:rFonts w:ascii="Times New Roman" w:hAnsi="Times New Roman"/>
          <w:color w:val="000000"/>
          <w:sz w:val="20"/>
        </w:rPr>
      </w:pPr>
      <w:r>
        <w:rPr>
          <w:rFonts w:ascii="Times New Roman" w:hAnsi="Times New Roman"/>
          <w:color w:val="000000"/>
          <w:sz w:val="20"/>
        </w:rPr>
        <w:t>The Company classified redeemable convertible preferred stock outside of stockholders’ deficit because the shares contained certain redemption features that were not solely within the control of the Company. Costs incurred in connection with the issuance of each series of redeemable convertible preferred stock were recorded as a reduction of gross proceeds from issuance.</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b/>
          <w:color w:val="000000"/>
          <w:sz w:val="20"/>
        </w:rPr>
      </w:pPr>
      <w:r>
        <w:rPr>
          <w:b/>
          <w:color w:val="000000"/>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carrying value of the Series A, Series B, and Series C redeemable convertible preferred stock is accreted to redemption value from the date of issuance to the earliest redemption date using the effective interest method. Adjustments to the carrying values of the redeemable convertible preferred stock at each reporting date resulted in an increase or decrease to net loss attributable to common stockholders.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 follows the liability method of accounting for income taxes in accordance with ASC 740, </w:t>
      </w:r>
      <w:r>
        <w:rPr>
          <w:rFonts w:ascii="Times New Roman" w:hAnsi="Times New Roman"/>
          <w:i/>
          <w:color w:val="000000"/>
          <w:sz w:val="20"/>
        </w:rPr>
        <w:t>Income Taxes</w:t>
      </w:r>
      <w:r>
        <w:rPr>
          <w:rFonts w:ascii="Times New Roman" w:hAnsi="Times New Roman"/>
          <w:color w:val="000000"/>
          <w:sz w:val="20"/>
        </w:rPr>
        <w:t xml:space="preserve"> (“ASC 740”).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Company records a valuation allowance to offset deferred tax assets if based on the weight of available evidence, it is more likely than not that some portion, or all, of the deferred tax assets will not be realized. The effect on deferred taxes of a change in tax rate is recognized in tax expense in the period that includes the enactment date of the change in tax rate.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accounted for uncertainties in income taxes in accordance with ASC 740. Interest and penalties arising from underpayment of income taxes are computed in accordance with the applicable tax laws. The amount of interest expense is computed by applying the applicable statutory rate of interest to the difference between the tax position recognized and the amount previously taken or expected to be taken in a tax return. Interest and penalties recognized in accordance with ASC 740 are classified in the consolidated statement of comprehensive loss as income tax expense.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recognizes income tax expense for basis differences related to global intangible low-taxed income (“GILTI”) as a period cost if and when incurred. GILTI is a category of income that is earned abroad by U.S.-controlled foreign corporations (CFCs) and is subject to special treatment under the U.S. tax code.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Comprehensive loss is defined as the changes in equity of the Company during a period from transactions and other events and circumstances excluding transactions resulting from investments by owners and distributions to owners. Among other disclosures, ASC 220, </w:t>
      </w:r>
      <w:r>
        <w:rPr>
          <w:rFonts w:ascii="Times New Roman" w:hAnsi="Times New Roman"/>
          <w:i/>
          <w:color w:val="000000"/>
          <w:sz w:val="20"/>
        </w:rPr>
        <w:t>Comprehensive Income</w:t>
      </w:r>
      <w:r>
        <w:rPr>
          <w:rFonts w:ascii="Times New Roman" w:hAnsi="Times New Roman"/>
          <w:color w:val="000000"/>
          <w:sz w:val="20"/>
        </w:rPr>
        <w:t>, requires that all items that are required to be recognized under current accounting standards as components of comprehensive loss be reported in a financial statement that is displayed with the same prominence as other financial statements. For each of the periods presented, the Company’s comprehensive loss includes foreign currency translation differences and unrealized gain or loss from available for sale securities which is presented in the consolidated statement of comprehensive loss.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Government Subsidies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Government subsidies that involve no conditions or continuing performance obligations of the Company are recognized as ‘other income, net’ upon receipt. In the event government grants or incentives involve continuing performance obligations, the Company will capitalize the payment as deferred revenue and recognize the same financial statement caption as the performance obligation relates over the performance period.</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considers the nature of each government subsidy to determine whether the related income shall be recorded as “Other operating income, net” or “Other income, net” in the consolidated statement of comprehensive loss.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Basic net loss per share is calculated by dividing the net loss attributable to common stockholders by the weighted-average number of shares of common stock outstanding for the period, without consideration for potential dilutive common shares, using the two-class method.</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Under the two-class method, net income is allocated between common stock and participating securities based on dividends declared or accumulated and participating rights in undistributed earnings as if all the earnings for the reporting period had been distributed.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Company’s participating securities do not share in losses of the Company. Therefore, the basic net loss per share is the same as diluted net loss per share as the inclusion of all potentially dilutive securities would have been anti-dilutive given the net loss of the Company for all the periods presented.</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(“ASU 2024-03”) which requires enhanced disclosure of specified categories of expenses included in certain expense captions presented on the face of the income statement. This guidance will be effective for fiscal years beginning after December 15, 2026, and for interim periods beginning after December 15, 2027. The Company is currently evaluating the new guidance to determine its adoption approach and the impact on the presentation and disclosures of its consolidated statements of operations and comprehensive loss.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3. Fair Value Measurements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tables present the Company’s fair value hierarchy for its assets and liabilities that are measured at fair value on a recurring basis: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4" w:name="zbddb0a71ff5948cb89bcb991e2c3b4eb"/>
      <w:bookmarkStart w:id="65" w:name="zbddb0a71ff5948cb89bcb991e2c3b4eb"/>
      <w:bookmarkEnd w:id="65"/>
    </w:p>
    <w:tbl>
      <w:tblPr>
        <w:tblW w:w="7263" w:type="dxa"/>
        <w:jc w:val="left"/>
        <w:tblInd w:w="0" w:type="dxa"/>
        <w:tblLayout w:type="fixed"/>
        <w:tblCellMar>
          <w:top w:w="0" w:type="dxa"/>
          <w:left w:w="0" w:type="dxa"/>
          <w:bottom w:w="0" w:type="dxa"/>
          <w:right w:w="0" w:type="dxa"/>
        </w:tblCellMar>
      </w:tblPr>
      <w:tblGrid>
        <w:gridCol w:w="2810"/>
        <w:gridCol w:w="60"/>
        <w:gridCol w:w="199"/>
        <w:gridCol w:w="535"/>
        <w:gridCol w:w="95"/>
        <w:gridCol w:w="95"/>
        <w:gridCol w:w="199"/>
        <w:gridCol w:w="943"/>
        <w:gridCol w:w="95"/>
        <w:gridCol w:w="95"/>
        <w:gridCol w:w="210"/>
        <w:gridCol w:w="439"/>
        <w:gridCol w:w="95"/>
        <w:gridCol w:w="95"/>
        <w:gridCol w:w="199"/>
        <w:gridCol w:w="1039"/>
        <w:gridCol w:w="60"/>
      </w:tblGrid>
      <w:tr>
        <w:trPr/>
        <w:tc>
          <w:tcPr>
            <w:tcW w:w="281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4333" w:type="dxa"/>
            <w:gridSpan w:val="14"/>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Fair Value Measurements as of December 31, 2025</w:t>
            </w:r>
          </w:p>
        </w:tc>
        <w:tc>
          <w:tcPr>
            <w:tcW w:w="6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734"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Level 1</w:t>
            </w:r>
          </w:p>
        </w:tc>
        <w:tc>
          <w:tcPr>
            <w:tcW w:w="95" w:type="dxa"/>
            <w:tcBorders/>
            <w:vAlign w:val="bottom"/>
          </w:tcPr>
          <w:p>
            <w:pPr>
              <w:pStyle w:val="TableContents"/>
              <w:bidi w:val="0"/>
              <w:spacing w:before="0" w:after="283"/>
              <w:jc w:val="center"/>
              <w:rPr/>
            </w:pPr>
            <w:r>
              <w:rPr/>
              <w:t> </w:t>
            </w:r>
          </w:p>
        </w:tc>
        <w:tc>
          <w:tcPr>
            <w:tcW w:w="95" w:type="dxa"/>
            <w:tcBorders/>
            <w:vAlign w:val="bottom"/>
          </w:tcPr>
          <w:p>
            <w:pPr>
              <w:pStyle w:val="TableContents"/>
              <w:bidi w:val="0"/>
              <w:spacing w:before="0" w:after="283"/>
              <w:jc w:val="center"/>
              <w:rPr/>
            </w:pPr>
            <w:r>
              <w:rPr/>
              <w:t> </w:t>
            </w:r>
          </w:p>
        </w:tc>
        <w:tc>
          <w:tcPr>
            <w:tcW w:w="1142"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Level 2</w:t>
            </w:r>
          </w:p>
        </w:tc>
        <w:tc>
          <w:tcPr>
            <w:tcW w:w="95" w:type="dxa"/>
            <w:tcBorders/>
            <w:vAlign w:val="bottom"/>
          </w:tcPr>
          <w:p>
            <w:pPr>
              <w:pStyle w:val="TableContents"/>
              <w:bidi w:val="0"/>
              <w:spacing w:before="0" w:after="283"/>
              <w:jc w:val="center"/>
              <w:rPr/>
            </w:pPr>
            <w:r>
              <w:rPr/>
              <w:t> </w:t>
            </w:r>
          </w:p>
        </w:tc>
        <w:tc>
          <w:tcPr>
            <w:tcW w:w="95" w:type="dxa"/>
            <w:tcBorders/>
            <w:vAlign w:val="bottom"/>
          </w:tcPr>
          <w:p>
            <w:pPr>
              <w:pStyle w:val="TableContents"/>
              <w:bidi w:val="0"/>
              <w:spacing w:before="0" w:after="283"/>
              <w:jc w:val="center"/>
              <w:rPr/>
            </w:pPr>
            <w:r>
              <w:rPr/>
              <w:t> </w:t>
            </w:r>
          </w:p>
        </w:tc>
        <w:tc>
          <w:tcPr>
            <w:tcW w:w="649"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Level 3</w:t>
            </w:r>
          </w:p>
        </w:tc>
        <w:tc>
          <w:tcPr>
            <w:tcW w:w="95" w:type="dxa"/>
            <w:tcBorders/>
            <w:vAlign w:val="bottom"/>
          </w:tcPr>
          <w:p>
            <w:pPr>
              <w:pStyle w:val="TableContents"/>
              <w:bidi w:val="0"/>
              <w:spacing w:before="0" w:after="283"/>
              <w:jc w:val="center"/>
              <w:rPr/>
            </w:pPr>
            <w:r>
              <w:rPr/>
              <w:t> </w:t>
            </w:r>
          </w:p>
        </w:tc>
        <w:tc>
          <w:tcPr>
            <w:tcW w:w="95" w:type="dxa"/>
            <w:tcBorders/>
            <w:vAlign w:val="bottom"/>
          </w:tcPr>
          <w:p>
            <w:pPr>
              <w:pStyle w:val="TableContents"/>
              <w:bidi w:val="0"/>
              <w:spacing w:before="0" w:after="283"/>
              <w:jc w:val="center"/>
              <w:rPr/>
            </w:pPr>
            <w:r>
              <w:rPr/>
              <w:t> </w:t>
            </w:r>
          </w:p>
        </w:tc>
        <w:tc>
          <w:tcPr>
            <w:tcW w:w="1238"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Total</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ind w:left="180" w:right="0" w:hanging="180"/>
              <w:jc w:val="both"/>
              <w:rPr>
                <w:color w:val="000000"/>
                <w:sz w:val="20"/>
              </w:rPr>
            </w:pPr>
            <w:r>
              <w:rPr>
                <w:color w:val="000000"/>
                <w:sz w:val="20"/>
              </w:rPr>
              <w:t>Assets:</w:t>
            </w:r>
          </w:p>
        </w:tc>
        <w:tc>
          <w:tcPr>
            <w:tcW w:w="60" w:type="dxa"/>
            <w:tcBorders/>
            <w:shd w:fill="CCEEFF" w:val="clear"/>
            <w:vAlign w:val="bottom"/>
          </w:tcPr>
          <w:p>
            <w:pPr>
              <w:pStyle w:val="TableContents"/>
              <w:bidi w:val="0"/>
              <w:spacing w:before="0" w:after="283"/>
              <w:jc w:val="left"/>
              <w:rPr/>
            </w:pPr>
            <w:r>
              <w:rPr/>
              <w:t> </w:t>
            </w:r>
          </w:p>
        </w:tc>
        <w:tc>
          <w:tcPr>
            <w:tcW w:w="734"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42"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49"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238"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ind w:left="180" w:right="0" w:hanging="180"/>
              <w:jc w:val="both"/>
              <w:rPr>
                <w:color w:val="000000"/>
                <w:sz w:val="20"/>
              </w:rPr>
            </w:pPr>
            <w:r>
              <w:rPr>
                <w:color w:val="000000"/>
                <w:sz w:val="20"/>
              </w:rPr>
              <w:t>Cash equivalents</w:t>
            </w:r>
          </w:p>
        </w:tc>
        <w:tc>
          <w:tcPr>
            <w:tcW w:w="60" w:type="dxa"/>
            <w:tcBorders/>
            <w:vAlign w:val="bottom"/>
          </w:tcPr>
          <w:p>
            <w:pPr>
              <w:pStyle w:val="TableContents"/>
              <w:bidi w:val="0"/>
              <w:spacing w:before="0" w:after="283"/>
              <w:jc w:val="left"/>
              <w:rPr/>
            </w:pPr>
            <w:r>
              <w:rPr/>
              <w:t> </w:t>
            </w:r>
          </w:p>
        </w:tc>
        <w:tc>
          <w:tcPr>
            <w:tcW w:w="73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4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3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ind w:left="360" w:right="0" w:hanging="180"/>
              <w:jc w:val="both"/>
              <w:rPr>
                <w:color w:val="000000"/>
                <w:sz w:val="20"/>
              </w:rPr>
            </w:pPr>
            <w:r>
              <w:rPr>
                <w:color w:val="000000"/>
                <w:sz w:val="20"/>
              </w:rPr>
              <w:t>Money market funds</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0"/>
              <w:jc w:val="left"/>
              <w:rPr>
                <w:color w:val="000000"/>
                <w:sz w:val="20"/>
              </w:rPr>
            </w:pPr>
            <w:r>
              <w:rPr>
                <w:color w:val="000000"/>
                <w:sz w:val="20"/>
              </w:rPr>
              <w:t>$</w:t>
            </w:r>
          </w:p>
        </w:tc>
        <w:tc>
          <w:tcPr>
            <w:tcW w:w="535" w:type="dxa"/>
            <w:tcBorders/>
            <w:shd w:fill="CCEEFF" w:val="clear"/>
            <w:vAlign w:val="bottom"/>
          </w:tcPr>
          <w:p>
            <w:pPr>
              <w:pStyle w:val="TableContents"/>
              <w:bidi w:val="0"/>
              <w:spacing w:before="0" w:after="0"/>
              <w:jc w:val="right"/>
              <w:rPr>
                <w:color w:val="000000"/>
                <w:sz w:val="20"/>
              </w:rPr>
            </w:pPr>
            <w:r>
              <w:rPr>
                <w:color w:val="000000"/>
                <w:sz w:val="20"/>
              </w:rPr>
              <w:t>167</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0"/>
              <w:jc w:val="left"/>
              <w:rPr>
                <w:color w:val="000000"/>
                <w:sz w:val="20"/>
              </w:rPr>
            </w:pPr>
            <w:r>
              <w:rPr>
                <w:color w:val="000000"/>
                <w:sz w:val="20"/>
              </w:rPr>
              <w:t>$</w:t>
            </w:r>
          </w:p>
        </w:tc>
        <w:tc>
          <w:tcPr>
            <w:tcW w:w="943"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color w:val="000000"/>
                <w:sz w:val="20"/>
              </w:rPr>
            </w:pPr>
            <w:r>
              <w:rPr>
                <w:color w:val="000000"/>
                <w:sz w:val="20"/>
              </w:rPr>
              <w:t>$</w:t>
            </w:r>
          </w:p>
        </w:tc>
        <w:tc>
          <w:tcPr>
            <w:tcW w:w="439"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0"/>
              <w:jc w:val="left"/>
              <w:rPr>
                <w:color w:val="000000"/>
                <w:sz w:val="20"/>
              </w:rPr>
            </w:pPr>
            <w:r>
              <w:rPr>
                <w:color w:val="000000"/>
                <w:sz w:val="20"/>
              </w:rPr>
              <w:t>$</w:t>
            </w:r>
          </w:p>
        </w:tc>
        <w:tc>
          <w:tcPr>
            <w:tcW w:w="1039" w:type="dxa"/>
            <w:tcBorders/>
            <w:shd w:fill="CCEEFF" w:val="clear"/>
            <w:vAlign w:val="bottom"/>
          </w:tcPr>
          <w:p>
            <w:pPr>
              <w:pStyle w:val="TableContents"/>
              <w:bidi w:val="0"/>
              <w:spacing w:before="0" w:after="0"/>
              <w:jc w:val="right"/>
              <w:rPr>
                <w:color w:val="000000"/>
                <w:sz w:val="20"/>
              </w:rPr>
            </w:pPr>
            <w:r>
              <w:rPr>
                <w:color w:val="000000"/>
                <w:sz w:val="20"/>
              </w:rPr>
              <w:t>167</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ind w:left="180" w:right="0" w:hanging="180"/>
              <w:jc w:val="both"/>
              <w:rPr>
                <w:color w:val="000000"/>
                <w:sz w:val="20"/>
              </w:rPr>
            </w:pPr>
            <w:r>
              <w:rPr>
                <w:color w:val="000000"/>
                <w:sz w:val="20"/>
              </w:rPr>
              <w:t>Short-term investments</w:t>
            </w:r>
          </w:p>
        </w:tc>
        <w:tc>
          <w:tcPr>
            <w:tcW w:w="60"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ind w:left="360" w:right="0" w:hanging="180"/>
              <w:jc w:val="both"/>
              <w:rPr>
                <w:color w:val="000000"/>
                <w:sz w:val="20"/>
              </w:rPr>
            </w:pPr>
            <w:r>
              <w:rPr>
                <w:color w:val="000000"/>
                <w:sz w:val="20"/>
              </w:rPr>
              <w:t>Available-for-sale securities</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ind w:left="540" w:right="0" w:hanging="180"/>
              <w:jc w:val="both"/>
              <w:rPr>
                <w:color w:val="000000"/>
                <w:sz w:val="20"/>
              </w:rPr>
            </w:pPr>
            <w:r>
              <w:rPr>
                <w:color w:val="000000"/>
                <w:sz w:val="20"/>
              </w:rPr>
              <w:t>U.S. government agency securities</w:t>
            </w:r>
          </w:p>
        </w:tc>
        <w:tc>
          <w:tcPr>
            <w:tcW w:w="60"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0"/>
              <w:jc w:val="right"/>
              <w:rPr>
                <w:color w:val="000000"/>
                <w:sz w:val="20"/>
              </w:rPr>
            </w:pPr>
            <w:r>
              <w:rPr>
                <w:color w:val="000000"/>
                <w:sz w:val="20"/>
              </w:rPr>
              <w:t>2,000</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sz w:val="20"/>
              </w:rPr>
            </w:pPr>
            <w:r>
              <w:rPr>
                <w:sz w:val="20"/>
              </w:rPr>
              <w:t xml:space="preserve">2,000 </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ind w:left="540" w:right="0" w:hanging="180"/>
              <w:jc w:val="both"/>
              <w:rPr>
                <w:color w:val="000000"/>
                <w:sz w:val="20"/>
              </w:rPr>
            </w:pPr>
            <w:r>
              <w:rPr>
                <w:color w:val="000000"/>
                <w:sz w:val="20"/>
              </w:rPr>
              <w:t>Corporate debt securities</w:t>
            </w:r>
          </w:p>
        </w:tc>
        <w:tc>
          <w:tcPr>
            <w:tcW w:w="6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0"/>
              <w:jc w:val="right"/>
              <w:rPr>
                <w:color w:val="000000"/>
                <w:sz w:val="20"/>
              </w:rPr>
            </w:pPr>
            <w:r>
              <w:rPr>
                <w:color w:val="000000"/>
                <w:sz w:val="20"/>
              </w:rPr>
              <w:t>23,146</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r>
              <w:rPr>
                <w:sz w:val="20"/>
              </w:rPr>
              <w:t>23,146</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ind w:left="540" w:right="0" w:hanging="180"/>
              <w:jc w:val="both"/>
              <w:rPr>
                <w:color w:val="000000"/>
                <w:sz w:val="20"/>
              </w:rPr>
            </w:pPr>
            <w:r>
              <w:rPr>
                <w:color w:val="000000"/>
                <w:sz w:val="20"/>
              </w:rPr>
              <w:t>Commercial paper</w:t>
            </w:r>
          </w:p>
        </w:tc>
        <w:tc>
          <w:tcPr>
            <w:tcW w:w="60" w:type="dxa"/>
            <w:tcBorders/>
            <w:vAlign w:val="bottom"/>
          </w:tcPr>
          <w:p>
            <w:pPr>
              <w:pStyle w:val="TableContents"/>
              <w:bidi w:val="0"/>
              <w:spacing w:before="0" w:after="283"/>
              <w:jc w:val="righ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535"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righ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943"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2,939</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righ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439"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righ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tcMar>
              <w:bottom w:w="28" w:type="dxa"/>
            </w:tcMar>
            <w:vAlign w:val="bottom"/>
          </w:tcPr>
          <w:p>
            <w:pPr>
              <w:pStyle w:val="TableContents"/>
              <w:bidi w:val="0"/>
              <w:spacing w:before="0" w:after="283"/>
              <w:jc w:val="right"/>
              <w:rPr/>
            </w:pPr>
            <w:r>
              <w:rPr/>
              <w:t> </w:t>
            </w:r>
            <w:r>
              <w:rPr>
                <w:sz w:val="20"/>
              </w:rPr>
              <w:t>2,939</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ind w:left="180" w:right="0" w:hanging="180"/>
              <w:jc w:val="both"/>
              <w:rPr>
                <w:color w:val="000000"/>
                <w:sz w:val="20"/>
              </w:rPr>
            </w:pPr>
            <w:r>
              <w:rPr>
                <w:color w:val="000000"/>
                <w:sz w:val="20"/>
              </w:rPr>
              <w:t>Total assets</w:t>
            </w:r>
          </w:p>
        </w:tc>
        <w:tc>
          <w:tcPr>
            <w:tcW w:w="60" w:type="dxa"/>
            <w:tcBorders/>
            <w:shd w:fill="CCEEFF" w:val="clear"/>
            <w:vAlign w:val="bottom"/>
          </w:tcPr>
          <w:p>
            <w:pPr>
              <w:pStyle w:val="TableContents"/>
              <w:bidi w:val="0"/>
              <w:spacing w:before="0" w:after="283"/>
              <w:jc w:val="right"/>
              <w:rPr/>
            </w:pPr>
            <w:r>
              <w:rPr/>
              <w:t> </w:t>
            </w:r>
          </w:p>
        </w:tc>
        <w:tc>
          <w:tcPr>
            <w:tcW w:w="199" w:type="dxa"/>
            <w:tcBorders>
              <w:bottom w:val="double" w:sz="8" w:space="0" w:color="000000"/>
            </w:tcBorders>
            <w:shd w:fill="CCEEFF" w:val="clear"/>
            <w:tcMar>
              <w:bottom w:w="28" w:type="dxa"/>
            </w:tcMar>
            <w:vAlign w:val="bottom"/>
          </w:tcPr>
          <w:p>
            <w:pPr>
              <w:pStyle w:val="TableContents"/>
              <w:bidi w:val="0"/>
              <w:spacing w:before="0" w:after="0"/>
              <w:jc w:val="left"/>
              <w:rPr>
                <w:color w:val="000000"/>
                <w:sz w:val="20"/>
              </w:rPr>
            </w:pPr>
            <w:r>
              <w:rPr>
                <w:color w:val="000000"/>
                <w:sz w:val="20"/>
              </w:rPr>
              <w:t>$</w:t>
            </w:r>
          </w:p>
        </w:tc>
        <w:tc>
          <w:tcPr>
            <w:tcW w:w="535" w:type="dxa"/>
            <w:tcBorders>
              <w:bottom w:val="double" w:sz="8"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167</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199" w:type="dxa"/>
            <w:tcBorders>
              <w:bottom w:val="double" w:sz="8" w:space="0" w:color="000000"/>
            </w:tcBorders>
            <w:shd w:fill="CCEEFF" w:val="clear"/>
            <w:tcMar>
              <w:bottom w:w="28" w:type="dxa"/>
            </w:tcMar>
            <w:vAlign w:val="bottom"/>
          </w:tcPr>
          <w:p>
            <w:pPr>
              <w:pStyle w:val="TableContents"/>
              <w:bidi w:val="0"/>
              <w:spacing w:before="0" w:after="0"/>
              <w:jc w:val="left"/>
              <w:rPr>
                <w:color w:val="000000"/>
                <w:sz w:val="20"/>
              </w:rPr>
            </w:pPr>
            <w:r>
              <w:rPr>
                <w:color w:val="000000"/>
                <w:sz w:val="20"/>
              </w:rPr>
              <w:t>$</w:t>
            </w:r>
          </w:p>
        </w:tc>
        <w:tc>
          <w:tcPr>
            <w:tcW w:w="943" w:type="dxa"/>
            <w:tcBorders>
              <w:bottom w:val="double" w:sz="8"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28,085</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210" w:type="dxa"/>
            <w:tcBorders>
              <w:bottom w:val="double" w:sz="8" w:space="0" w:color="000000"/>
            </w:tcBorders>
            <w:shd w:fill="CCEEFF" w:val="clear"/>
            <w:tcMar>
              <w:bottom w:w="28" w:type="dxa"/>
            </w:tcMar>
            <w:vAlign w:val="bottom"/>
          </w:tcPr>
          <w:p>
            <w:pPr>
              <w:pStyle w:val="TableContents"/>
              <w:bidi w:val="0"/>
              <w:spacing w:before="0" w:after="0"/>
              <w:jc w:val="left"/>
              <w:rPr>
                <w:color w:val="000000"/>
                <w:sz w:val="20"/>
              </w:rPr>
            </w:pPr>
            <w:r>
              <w:rPr>
                <w:color w:val="000000"/>
                <w:sz w:val="20"/>
              </w:rPr>
              <w:t>$</w:t>
            </w:r>
          </w:p>
        </w:tc>
        <w:tc>
          <w:tcPr>
            <w:tcW w:w="43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199" w:type="dxa"/>
            <w:tcBorders>
              <w:bottom w:val="double" w:sz="8" w:space="0" w:color="000000"/>
            </w:tcBorders>
            <w:shd w:fill="CCEEFF" w:val="clear"/>
            <w:tcMar>
              <w:bottom w:w="28" w:type="dxa"/>
            </w:tcMar>
            <w:vAlign w:val="bottom"/>
          </w:tcPr>
          <w:p>
            <w:pPr>
              <w:pStyle w:val="TableContents"/>
              <w:bidi w:val="0"/>
              <w:spacing w:before="0" w:after="0"/>
              <w:jc w:val="left"/>
              <w:rPr>
                <w:color w:val="000000"/>
                <w:sz w:val="20"/>
              </w:rPr>
            </w:pPr>
            <w:r>
              <w:rPr>
                <w:color w:val="000000"/>
                <w:sz w:val="20"/>
              </w:rPr>
              <w:t>$</w:t>
            </w:r>
          </w:p>
        </w:tc>
        <w:tc>
          <w:tcPr>
            <w:tcW w:w="1039" w:type="dxa"/>
            <w:tcBorders>
              <w:bottom w:val="double" w:sz="8"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28,252</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left"/>
        <w:rPr>
          <w:b w:val="false"/>
          <w:color w:val="000000"/>
          <w:sz w:val="20"/>
        </w:rPr>
      </w:pPr>
      <w:r>
        <w:rPr>
          <w:b w:val="false"/>
          <w:color w:val="000000"/>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Money market funds are valued by the Company based on quoted market prices, which represent a Level 1 measurement within the fair value hierarchy. U.S. treasury securities, commercial paper, corporate debt securities and U.S. government agency securities are valued by the Company using quoted prices in active markets for similar securities, which represent a Level 2 measurement within the fair value hierarchy.</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4. Short-Term Investments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amortized cost, gross unrealized holding gains or losses, and fair value of the Company’s short-term investments by major security type as of December 31, 2025, are summarized in the table below:</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 w:name="zcc53560395a8454bb2e6698de9b0e889"/>
      <w:bookmarkStart w:id="67" w:name="zcc53560395a8454bb2e6698de9b0e889"/>
      <w:bookmarkEnd w:id="67"/>
    </w:p>
    <w:tbl>
      <w:tblPr>
        <w:tblW w:w="6825" w:type="dxa"/>
        <w:jc w:val="left"/>
        <w:tblInd w:w="0" w:type="dxa"/>
        <w:tblLayout w:type="fixed"/>
        <w:tblCellMar>
          <w:top w:w="0" w:type="dxa"/>
          <w:left w:w="0" w:type="dxa"/>
          <w:bottom w:w="0" w:type="dxa"/>
          <w:right w:w="0" w:type="dxa"/>
        </w:tblCellMar>
      </w:tblPr>
      <w:tblGrid>
        <w:gridCol w:w="2810"/>
        <w:gridCol w:w="60"/>
        <w:gridCol w:w="160"/>
        <w:gridCol w:w="760"/>
        <w:gridCol w:w="60"/>
        <w:gridCol w:w="60"/>
        <w:gridCol w:w="258"/>
        <w:gridCol w:w="692"/>
        <w:gridCol w:w="60"/>
        <w:gridCol w:w="60"/>
        <w:gridCol w:w="308"/>
        <w:gridCol w:w="642"/>
        <w:gridCol w:w="60"/>
        <w:gridCol w:w="60"/>
        <w:gridCol w:w="125"/>
        <w:gridCol w:w="590"/>
        <w:gridCol w:w="60"/>
      </w:tblGrid>
      <w:tr>
        <w:trPr/>
        <w:tc>
          <w:tcPr>
            <w:tcW w:w="28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5" w:type="dxa"/>
            <w:gridSpan w:val="14"/>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December 31, 2025</w:t>
            </w:r>
          </w:p>
        </w:tc>
        <w:tc>
          <w:tcPr>
            <w:tcW w:w="6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Amortized</w:t>
            </w:r>
          </w:p>
          <w:p>
            <w:pPr>
              <w:pStyle w:val="TableContents"/>
              <w:bidi w:val="0"/>
              <w:spacing w:before="0" w:after="0"/>
              <w:jc w:val="center"/>
              <w:rPr>
                <w:b/>
                <w:color w:val="000000"/>
                <w:sz w:val="20"/>
              </w:rPr>
            </w:pPr>
            <w:r>
              <w:rPr>
                <w:b/>
                <w:color w:val="000000"/>
                <w:sz w:val="20"/>
              </w:rPr>
              <w:t>Cost Basis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Gross</w:t>
            </w:r>
          </w:p>
          <w:p>
            <w:pPr>
              <w:pStyle w:val="TableContents"/>
              <w:bidi w:val="0"/>
              <w:spacing w:before="0" w:after="0"/>
              <w:jc w:val="center"/>
              <w:rPr>
                <w:b/>
                <w:color w:val="000000"/>
                <w:sz w:val="20"/>
              </w:rPr>
            </w:pPr>
            <w:r>
              <w:rPr>
                <w:b/>
                <w:color w:val="000000"/>
                <w:sz w:val="20"/>
              </w:rPr>
              <w:t>Unrealized</w:t>
            </w:r>
          </w:p>
          <w:p>
            <w:pPr>
              <w:pStyle w:val="TableContents"/>
              <w:bidi w:val="0"/>
              <w:spacing w:before="0" w:after="0"/>
              <w:jc w:val="center"/>
              <w:rPr>
                <w:b/>
                <w:color w:val="000000"/>
                <w:sz w:val="20"/>
              </w:rPr>
            </w:pPr>
            <w:r>
              <w:rPr>
                <w:b/>
                <w:color w:val="000000"/>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Gross</w:t>
            </w:r>
          </w:p>
          <w:p>
            <w:pPr>
              <w:pStyle w:val="TableContents"/>
              <w:bidi w:val="0"/>
              <w:spacing w:before="0" w:after="0"/>
              <w:jc w:val="center"/>
              <w:rPr>
                <w:b/>
                <w:color w:val="000000"/>
                <w:sz w:val="20"/>
              </w:rPr>
            </w:pPr>
            <w:r>
              <w:rPr>
                <w:b/>
                <w:color w:val="000000"/>
                <w:sz w:val="20"/>
              </w:rPr>
              <w:t>Unrealized</w:t>
            </w:r>
          </w:p>
          <w:p>
            <w:pPr>
              <w:pStyle w:val="TableContents"/>
              <w:bidi w:val="0"/>
              <w:spacing w:before="0" w:after="0"/>
              <w:jc w:val="center"/>
              <w:rPr>
                <w:b/>
                <w:color w:val="000000"/>
                <w:sz w:val="20"/>
              </w:rPr>
            </w:pPr>
            <w:r>
              <w:rPr>
                <w:b/>
                <w:color w:val="000000"/>
                <w:sz w:val="20"/>
              </w:rPr>
              <w:t>Losses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Fair</w:t>
            </w:r>
          </w:p>
          <w:p>
            <w:pPr>
              <w:pStyle w:val="TableContents"/>
              <w:bidi w:val="0"/>
              <w:spacing w:before="0" w:after="0"/>
              <w:jc w:val="center"/>
              <w:rPr>
                <w:b/>
                <w:color w:val="000000"/>
                <w:sz w:val="20"/>
              </w:rPr>
            </w:pPr>
            <w:r>
              <w:rPr>
                <w:b/>
                <w:color w:val="000000"/>
                <w:sz w:val="20"/>
              </w:rPr>
              <w:t>Value</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left"/>
              <w:rPr>
                <w:color w:val="000000"/>
                <w:sz w:val="20"/>
              </w:rPr>
            </w:pPr>
            <w:r>
              <w:rPr>
                <w:color w:val="000000"/>
                <w:sz w:val="20"/>
              </w:rPr>
              <w:t>Short-term investments:</w:t>
            </w:r>
          </w:p>
        </w:tc>
        <w:tc>
          <w:tcPr>
            <w:tcW w:w="60" w:type="dxa"/>
            <w:tcBorders/>
            <w:shd w:fill="CCEEFF" w:val="clear"/>
            <w:vAlign w:val="bottom"/>
          </w:tcPr>
          <w:p>
            <w:pPr>
              <w:pStyle w:val="TableContents"/>
              <w:bidi w:val="0"/>
              <w:spacing w:before="0" w:after="283"/>
              <w:jc w:val="left"/>
              <w:rPr/>
            </w:pPr>
            <w:r>
              <w:rPr/>
              <w:t> </w:t>
            </w:r>
          </w:p>
        </w:tc>
        <w:tc>
          <w:tcPr>
            <w:tcW w:w="9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ind w:left="180" w:right="0" w:hanging="0"/>
              <w:jc w:val="left"/>
              <w:rPr>
                <w:color w:val="000000"/>
                <w:sz w:val="20"/>
              </w:rPr>
            </w:pPr>
            <w:r>
              <w:rPr>
                <w:color w:val="000000"/>
                <w:sz w:val="20"/>
              </w:rPr>
              <w:t>Available-for-sale securities</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ind w:left="360" w:right="0" w:hanging="0"/>
              <w:jc w:val="left"/>
              <w:rPr>
                <w:color w:val="000000"/>
                <w:sz w:val="20"/>
              </w:rPr>
            </w:pPr>
            <w:r>
              <w:rPr>
                <w:color w:val="000000"/>
                <w:sz w:val="20"/>
              </w:rPr>
              <w:t>U.S. government agency securities</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0"/>
              <w:jc w:val="right"/>
              <w:rPr>
                <w:color w:val="000000"/>
                <w:sz w:val="20"/>
              </w:rPr>
            </w:pPr>
            <w:r>
              <w:rPr>
                <w:color w:val="000000"/>
                <w:sz w:val="20"/>
              </w:rPr>
              <w:t>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sz w:val="20"/>
              </w:rPr>
            </w:pPr>
            <w:r>
              <w:rPr>
                <w:color w:val="000000"/>
                <w:sz w:val="20"/>
              </w:rPr>
              <w:t>2,000</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ind w:left="360" w:right="0" w:hanging="0"/>
              <w:jc w:val="left"/>
              <w:rPr>
                <w:color w:val="000000"/>
                <w:sz w:val="20"/>
              </w:rPr>
            </w:pPr>
            <w:r>
              <w:rPr>
                <w:color w:val="000000"/>
                <w:sz w:val="20"/>
              </w:rPr>
              <w:t>Corporate debt securities</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0"/>
              <w:jc w:val="right"/>
              <w:rPr>
                <w:color w:val="000000"/>
                <w:sz w:val="20"/>
              </w:rPr>
            </w:pPr>
            <w:r>
              <w:rPr>
                <w:color w:val="000000"/>
                <w:sz w:val="20"/>
              </w:rPr>
              <w:t>22,866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color w:val="000000"/>
                <w:sz w:val="20"/>
              </w:rPr>
            </w:pPr>
            <w:r>
              <w:rPr>
                <w:color w:val="000000"/>
                <w:sz w:val="20"/>
              </w:rPr>
              <w:t>280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sz w:val="20"/>
              </w:rPr>
            </w:pPr>
            <w:r>
              <w:rPr>
                <w:color w:val="000000"/>
                <w:sz w:val="20"/>
              </w:rPr>
              <w:t>23,146</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ind w:left="360" w:right="0" w:hanging="0"/>
              <w:jc w:val="left"/>
              <w:rPr>
                <w:color w:val="000000"/>
                <w:sz w:val="20"/>
              </w:rPr>
            </w:pPr>
            <w:r>
              <w:rPr>
                <w:color w:val="000000"/>
                <w:sz w:val="20"/>
              </w:rPr>
              <w:t>Commercial paper</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2,939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2,939</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left"/>
              <w:rPr>
                <w:color w:val="000000"/>
                <w:sz w:val="20"/>
              </w:rPr>
            </w:pPr>
            <w:r>
              <w:rPr>
                <w:color w:val="000000"/>
                <w:sz w:val="20"/>
              </w:rPr>
              <w:t>Total</w:t>
            </w:r>
          </w:p>
        </w:tc>
        <w:tc>
          <w:tcPr>
            <w:tcW w:w="60" w:type="dxa"/>
            <w:tcBorders/>
            <w:vAlign w:val="bottom"/>
          </w:tcPr>
          <w:p>
            <w:pPr>
              <w:pStyle w:val="TableContents"/>
              <w:bidi w:val="0"/>
              <w:spacing w:before="0" w:after="283"/>
              <w:jc w:val="right"/>
              <w:rPr/>
            </w:pPr>
            <w:r>
              <w:rPr/>
              <w:t> </w:t>
            </w:r>
          </w:p>
        </w:tc>
        <w:tc>
          <w:tcPr>
            <w:tcW w:w="160" w:type="dxa"/>
            <w:tcBorders>
              <w:bottom w:val="double" w:sz="8" w:space="0" w:color="000000"/>
            </w:tcBorders>
            <w:tcMar>
              <w:bottom w:w="28" w:type="dxa"/>
            </w:tcMar>
            <w:vAlign w:val="bottom"/>
          </w:tcPr>
          <w:p>
            <w:pPr>
              <w:pStyle w:val="TableContents"/>
              <w:bidi w:val="0"/>
              <w:spacing w:before="0" w:after="0"/>
              <w:jc w:val="left"/>
              <w:rPr>
                <w:color w:val="000000"/>
                <w:sz w:val="20"/>
              </w:rPr>
            </w:pPr>
            <w:r>
              <w:rPr>
                <w:color w:val="000000"/>
                <w:sz w:val="20"/>
              </w:rPr>
              <w:t>$</w:t>
            </w:r>
          </w:p>
        </w:tc>
        <w:tc>
          <w:tcPr>
            <w:tcW w:w="760"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27,806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bottom w:val="double" w:sz="8" w:space="0" w:color="000000"/>
            </w:tcBorders>
            <w:tcMar>
              <w:bottom w:w="28" w:type="dxa"/>
            </w:tcMar>
            <w:vAlign w:val="bottom"/>
          </w:tcPr>
          <w:p>
            <w:pPr>
              <w:pStyle w:val="TableContents"/>
              <w:bidi w:val="0"/>
              <w:spacing w:before="0" w:after="0"/>
              <w:jc w:val="left"/>
              <w:rPr>
                <w:color w:val="000000"/>
                <w:sz w:val="20"/>
              </w:rPr>
            </w:pPr>
            <w:r>
              <w:rPr>
                <w:color w:val="000000"/>
                <w:sz w:val="20"/>
              </w:rPr>
              <w:t>$</w:t>
            </w:r>
          </w:p>
        </w:tc>
        <w:tc>
          <w:tcPr>
            <w:tcW w:w="692"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280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bottom w:val="double" w:sz="8" w:space="0" w:color="000000"/>
            </w:tcBorders>
            <w:tcMar>
              <w:bottom w:w="28" w:type="dxa"/>
            </w:tcMar>
            <w:vAlign w:val="bottom"/>
          </w:tcPr>
          <w:p>
            <w:pPr>
              <w:pStyle w:val="TableContents"/>
              <w:bidi w:val="0"/>
              <w:spacing w:before="0" w:after="0"/>
              <w:jc w:val="left"/>
              <w:rPr>
                <w:color w:val="000000"/>
                <w:sz w:val="20"/>
              </w:rPr>
            </w:pPr>
            <w:r>
              <w:rPr>
                <w:color w:val="000000"/>
                <w:sz w:val="20"/>
              </w:rPr>
              <w:t>$</w:t>
            </w:r>
          </w:p>
        </w:tc>
        <w:tc>
          <w:tcPr>
            <w:tcW w:w="64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color w:val="000000"/>
                <w:sz w:val="20"/>
              </w:rPr>
            </w:pPr>
            <w:r>
              <w:rPr>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28,085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b/>
          <w:color w:val="000000"/>
          <w:sz w:val="20"/>
        </w:rPr>
      </w:pPr>
      <w:r>
        <w:rPr>
          <w:b/>
          <w:color w:val="000000"/>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 Consolidated Balance Sheet Components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prepaid expenses and other current assets are comprised of the following:</w:t>
      </w:r>
    </w:p>
    <w:p>
      <w:pPr>
        <w:pStyle w:val="TextBody"/>
        <w:bidi w:val="0"/>
        <w:spacing w:before="0" w:after="0"/>
        <w:jc w:val="left"/>
        <w:rPr>
          <w:color w:val="000000"/>
          <w:sz w:val="20"/>
        </w:rPr>
      </w:pPr>
      <w:r>
        <w:rPr>
          <w:color w:val="000000"/>
          <w:sz w:val="20"/>
        </w:rPr>
      </w:r>
    </w:p>
    <w:p>
      <w:pPr>
        <w:pStyle w:val="Normal"/>
        <w:bidi w:val="0"/>
        <w:spacing w:before="0" w:after="0"/>
        <w:jc w:val="left"/>
        <w:rPr>
          <w:sz w:val="4"/>
          <w:szCs w:val="4"/>
        </w:rPr>
      </w:pPr>
      <w:r>
        <w:rPr>
          <w:sz w:val="4"/>
          <w:szCs w:val="4"/>
        </w:rPr>
      </w:r>
      <w:bookmarkStart w:id="68" w:name="z5bb732fa46ce48ada5f429b606d05bd2"/>
      <w:bookmarkStart w:id="69" w:name="z5bb732fa46ce48ada5f429b606d05bd2"/>
      <w:bookmarkEnd w:id="69"/>
    </w:p>
    <w:tbl>
      <w:tblPr>
        <w:tblW w:w="5304" w:type="dxa"/>
        <w:jc w:val="left"/>
        <w:tblInd w:w="0" w:type="dxa"/>
        <w:tblLayout w:type="fixed"/>
        <w:tblCellMar>
          <w:top w:w="0" w:type="dxa"/>
          <w:left w:w="0" w:type="dxa"/>
          <w:bottom w:w="0" w:type="dxa"/>
          <w:right w:w="0" w:type="dxa"/>
        </w:tblCellMar>
      </w:tblPr>
      <w:tblGrid>
        <w:gridCol w:w="3965"/>
        <w:gridCol w:w="60"/>
        <w:gridCol w:w="249"/>
        <w:gridCol w:w="970"/>
        <w:gridCol w:w="60"/>
      </w:tblGrid>
      <w:tr>
        <w:trPr/>
        <w:tc>
          <w:tcPr>
            <w:tcW w:w="39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 xml:space="preserve">December 31, </w:t>
            </w:r>
          </w:p>
          <w:p>
            <w:pPr>
              <w:pStyle w:val="TableContents"/>
              <w:bidi w:val="0"/>
              <w:spacing w:before="0" w:after="0"/>
              <w:jc w:val="center"/>
              <w:rPr>
                <w:b/>
                <w:color w:val="000000"/>
                <w:sz w:val="20"/>
              </w:rPr>
            </w:pPr>
            <w:r>
              <w:rPr>
                <w:b/>
                <w:color w:val="000000"/>
                <w:sz w:val="20"/>
              </w:rPr>
              <w:t>2025</w:t>
            </w:r>
          </w:p>
        </w:tc>
        <w:tc>
          <w:tcPr>
            <w:tcW w:w="60"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jc w:val="left"/>
              <w:rPr>
                <w:color w:val="000000"/>
                <w:sz w:val="20"/>
              </w:rPr>
            </w:pPr>
            <w:r>
              <w:rPr>
                <w:color w:val="000000"/>
                <w:sz w:val="20"/>
              </w:rPr>
              <w:t>Advances to research and development suppliers</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0"/>
              <w:jc w:val="left"/>
              <w:rPr>
                <w:color w:val="000000"/>
                <w:sz w:val="20"/>
              </w:rPr>
            </w:pPr>
            <w:r>
              <w:rPr>
                <w:color w:val="000000"/>
                <w:sz w:val="20"/>
              </w:rPr>
              <w:t>$</w:t>
            </w:r>
          </w:p>
        </w:tc>
        <w:tc>
          <w:tcPr>
            <w:tcW w:w="970" w:type="dxa"/>
            <w:tcBorders/>
            <w:shd w:fill="CCEEFF" w:val="clear"/>
            <w:vAlign w:val="bottom"/>
          </w:tcPr>
          <w:p>
            <w:pPr>
              <w:pStyle w:val="TableContents"/>
              <w:bidi w:val="0"/>
              <w:spacing w:before="0" w:after="0"/>
              <w:jc w:val="right"/>
              <w:rPr>
                <w:color w:val="000000"/>
                <w:sz w:val="20"/>
              </w:rPr>
            </w:pPr>
            <w:r>
              <w:rPr>
                <w:color w:val="000000"/>
                <w:sz w:val="20"/>
              </w:rPr>
              <w:t>615</w:t>
            </w:r>
          </w:p>
        </w:tc>
        <w:tc>
          <w:tcPr>
            <w:tcW w:w="60"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jc w:val="left"/>
              <w:rPr>
                <w:color w:val="000000"/>
                <w:sz w:val="20"/>
              </w:rPr>
            </w:pPr>
            <w:r>
              <w:rPr>
                <w:color w:val="000000"/>
                <w:sz w:val="20"/>
              </w:rPr>
              <w:t>Deferred issuance costs</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color w:val="000000"/>
                <w:sz w:val="20"/>
              </w:rPr>
            </w:pPr>
            <w:r>
              <w:rPr>
                <w:color w:val="000000"/>
                <w:sz w:val="20"/>
              </w:rPr>
              <w:t>3,831</w:t>
            </w:r>
          </w:p>
        </w:tc>
        <w:tc>
          <w:tcPr>
            <w:tcW w:w="60"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jc w:val="left"/>
              <w:rPr>
                <w:color w:val="000000"/>
                <w:sz w:val="20"/>
              </w:rPr>
            </w:pPr>
            <w:r>
              <w:rPr>
                <w:color w:val="000000"/>
                <w:sz w:val="20"/>
              </w:rPr>
              <w:t>Income tax recoverable</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color w:val="000000"/>
                <w:sz w:val="20"/>
              </w:rPr>
            </w:pPr>
            <w:r>
              <w:rPr>
                <w:color w:val="000000"/>
                <w:sz w:val="20"/>
              </w:rPr>
              <w:t>1,069</w:t>
            </w:r>
          </w:p>
        </w:tc>
        <w:tc>
          <w:tcPr>
            <w:tcW w:w="60"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jc w:val="left"/>
              <w:rPr>
                <w:color w:val="000000"/>
                <w:sz w:val="20"/>
              </w:rPr>
            </w:pPr>
            <w:r>
              <w:rPr>
                <w:color w:val="000000"/>
                <w:sz w:val="20"/>
              </w:rPr>
              <w:t>Other tax recoverable</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color w:val="000000"/>
                <w:sz w:val="20"/>
              </w:rPr>
            </w:pPr>
            <w:r>
              <w:rPr>
                <w:color w:val="000000"/>
                <w:sz w:val="20"/>
              </w:rPr>
              <w:t>880</w:t>
            </w:r>
          </w:p>
        </w:tc>
        <w:tc>
          <w:tcPr>
            <w:tcW w:w="60"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jc w:val="left"/>
              <w:rPr>
                <w:color w:val="000000"/>
                <w:sz w:val="20"/>
              </w:rPr>
            </w:pPr>
            <w:r>
              <w:rPr>
                <w:color w:val="000000"/>
                <w:sz w:val="20"/>
              </w:rPr>
              <w:t>Advances to other suppliers</w:t>
            </w:r>
          </w:p>
        </w:tc>
        <w:tc>
          <w:tcPr>
            <w:tcW w:w="60" w:type="dxa"/>
            <w:tcBorders/>
            <w:shd w:fill="CCEEFF" w:val="clear"/>
            <w:vAlign w:val="bottom"/>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391</w:t>
            </w:r>
          </w:p>
        </w:tc>
        <w:tc>
          <w:tcPr>
            <w:tcW w:w="60"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ind w:left="180" w:right="0" w:hanging="0"/>
              <w:jc w:val="left"/>
              <w:rPr>
                <w:color w:val="000000"/>
                <w:sz w:val="20"/>
              </w:rPr>
            </w:pPr>
            <w:r>
              <w:rPr>
                <w:color w:val="000000"/>
                <w:sz w:val="20"/>
              </w:rPr>
              <w:t>Total prepaid expenses and other current assets</w:t>
            </w:r>
          </w:p>
        </w:tc>
        <w:tc>
          <w:tcPr>
            <w:tcW w:w="60" w:type="dxa"/>
            <w:tcBorders/>
            <w:vAlign w:val="bottom"/>
          </w:tcPr>
          <w:p>
            <w:pPr>
              <w:pStyle w:val="TableContents"/>
              <w:bidi w:val="0"/>
              <w:spacing w:before="0" w:after="283"/>
              <w:jc w:val="left"/>
              <w:rPr/>
            </w:pPr>
            <w:r>
              <w:rPr/>
              <w:t> </w:t>
            </w:r>
          </w:p>
        </w:tc>
        <w:tc>
          <w:tcPr>
            <w:tcW w:w="249" w:type="dxa"/>
            <w:tcBorders>
              <w:bottom w:val="double" w:sz="8" w:space="0" w:color="000000"/>
            </w:tcBorders>
            <w:tcMar>
              <w:bottom w:w="28" w:type="dxa"/>
            </w:tcMar>
            <w:vAlign w:val="bottom"/>
          </w:tcPr>
          <w:p>
            <w:pPr>
              <w:pStyle w:val="TableContents"/>
              <w:bidi w:val="0"/>
              <w:spacing w:before="0" w:after="0"/>
              <w:jc w:val="left"/>
              <w:rPr>
                <w:color w:val="000000"/>
                <w:sz w:val="20"/>
              </w:rPr>
            </w:pPr>
            <w:r>
              <w:rPr>
                <w:color w:val="000000"/>
                <w:sz w:val="20"/>
              </w:rPr>
              <w:t>$</w:t>
            </w:r>
          </w:p>
        </w:tc>
        <w:tc>
          <w:tcPr>
            <w:tcW w:w="970"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6,786</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Property, plant and equipment, net, consist of the following:</w:t>
      </w:r>
    </w:p>
    <w:p>
      <w:pPr>
        <w:pStyle w:val="TextBody"/>
        <w:bidi w:val="0"/>
        <w:spacing w:before="0" w:after="0"/>
        <w:jc w:val="left"/>
        <w:rPr>
          <w:b/>
          <w:i/>
          <w:color w:val="000000"/>
          <w:sz w:val="20"/>
        </w:rPr>
      </w:pPr>
      <w:r>
        <w:rPr>
          <w:b/>
          <w:i/>
          <w:color w:val="000000"/>
          <w:sz w:val="20"/>
        </w:rPr>
      </w:r>
    </w:p>
    <w:p>
      <w:pPr>
        <w:pStyle w:val="Normal"/>
        <w:bidi w:val="0"/>
        <w:spacing w:before="0" w:after="0"/>
        <w:jc w:val="left"/>
        <w:rPr>
          <w:sz w:val="4"/>
          <w:szCs w:val="4"/>
        </w:rPr>
      </w:pPr>
      <w:r>
        <w:rPr>
          <w:sz w:val="4"/>
          <w:szCs w:val="4"/>
        </w:rPr>
      </w:r>
      <w:bookmarkStart w:id="70" w:name="zd9fb191f5dbc4e11979883eb04b6c2fd"/>
      <w:bookmarkStart w:id="71" w:name="zd9fb191f5dbc4e11979883eb04b6c2fd"/>
      <w:bookmarkEnd w:id="71"/>
    </w:p>
    <w:tbl>
      <w:tblPr>
        <w:tblW w:w="4109" w:type="dxa"/>
        <w:jc w:val="left"/>
        <w:tblInd w:w="0" w:type="dxa"/>
        <w:tblLayout w:type="fixed"/>
        <w:tblCellMar>
          <w:top w:w="0" w:type="dxa"/>
          <w:left w:w="0" w:type="dxa"/>
          <w:bottom w:w="0" w:type="dxa"/>
          <w:right w:w="0" w:type="dxa"/>
        </w:tblCellMar>
      </w:tblPr>
      <w:tblGrid>
        <w:gridCol w:w="2795"/>
        <w:gridCol w:w="60"/>
        <w:gridCol w:w="218"/>
        <w:gridCol w:w="956"/>
        <w:gridCol w:w="80"/>
      </w:tblGrid>
      <w:tr>
        <w:trPr/>
        <w:tc>
          <w:tcPr>
            <w:tcW w:w="27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December 31,</w:t>
            </w:r>
          </w:p>
          <w:p>
            <w:pPr>
              <w:pStyle w:val="TableContents"/>
              <w:bidi w:val="0"/>
              <w:spacing w:before="0" w:after="0"/>
              <w:jc w:val="center"/>
              <w:rPr>
                <w:b/>
                <w:color w:val="000000"/>
                <w:sz w:val="20"/>
              </w:rPr>
            </w:pPr>
            <w:r>
              <w:rPr>
                <w:b/>
                <w:color w:val="000000"/>
                <w:sz w:val="20"/>
              </w:rPr>
              <w:t>2025</w:t>
            </w:r>
          </w:p>
        </w:tc>
        <w:tc>
          <w:tcPr>
            <w:tcW w:w="80" w:type="dxa"/>
            <w:tcBorders/>
            <w:vAlign w:val="bottom"/>
          </w:tcPr>
          <w:p>
            <w:pPr>
              <w:pStyle w:val="TableContents"/>
              <w:bidi w:val="0"/>
              <w:spacing w:before="0" w:after="283"/>
              <w:jc w:val="left"/>
              <w:rPr/>
            </w:pPr>
            <w:r>
              <w:rPr/>
              <w:t> </w:t>
            </w:r>
          </w:p>
        </w:tc>
      </w:tr>
      <w:tr>
        <w:trPr/>
        <w:tc>
          <w:tcPr>
            <w:tcW w:w="2795" w:type="dxa"/>
            <w:tcBorders/>
            <w:shd w:fill="CCEEFF" w:val="clear"/>
            <w:vAlign w:val="bottom"/>
          </w:tcPr>
          <w:p>
            <w:pPr>
              <w:pStyle w:val="TableContents"/>
              <w:bidi w:val="0"/>
              <w:spacing w:before="0" w:after="0"/>
              <w:jc w:val="left"/>
              <w:rPr>
                <w:color w:val="000000"/>
                <w:sz w:val="20"/>
              </w:rPr>
            </w:pPr>
            <w:r>
              <w:rPr>
                <w:color w:val="000000"/>
                <w:sz w:val="20"/>
              </w:rPr>
              <w:t>Furniture and fixtures</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0"/>
              <w:jc w:val="left"/>
              <w:rPr>
                <w:color w:val="000000"/>
                <w:sz w:val="20"/>
              </w:rPr>
            </w:pPr>
            <w:r>
              <w:rPr>
                <w:color w:val="000000"/>
                <w:sz w:val="20"/>
              </w:rPr>
              <w:t>$</w:t>
            </w:r>
          </w:p>
        </w:tc>
        <w:tc>
          <w:tcPr>
            <w:tcW w:w="956" w:type="dxa"/>
            <w:tcBorders/>
            <w:shd w:fill="CCEEFF" w:val="clear"/>
            <w:vAlign w:val="bottom"/>
          </w:tcPr>
          <w:p>
            <w:pPr>
              <w:pStyle w:val="TableContents"/>
              <w:bidi w:val="0"/>
              <w:spacing w:before="0" w:after="0"/>
              <w:jc w:val="right"/>
              <w:rPr>
                <w:color w:val="000000"/>
                <w:sz w:val="20"/>
              </w:rPr>
            </w:pPr>
            <w:r>
              <w:rPr>
                <w:color w:val="000000"/>
                <w:sz w:val="20"/>
              </w:rPr>
              <w:t>66</w:t>
            </w:r>
          </w:p>
        </w:tc>
        <w:tc>
          <w:tcPr>
            <w:tcW w:w="80" w:type="dxa"/>
            <w:tcBorders/>
            <w:shd w:fill="CCEEFF" w:val="clear"/>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0"/>
              <w:jc w:val="left"/>
              <w:rPr>
                <w:color w:val="000000"/>
                <w:sz w:val="20"/>
              </w:rPr>
            </w:pPr>
            <w:r>
              <w:rPr>
                <w:color w:val="000000"/>
                <w:sz w:val="20"/>
              </w:rPr>
              <w:t>Equipment</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0"/>
              <w:jc w:val="right"/>
              <w:rPr>
                <w:color w:val="000000"/>
                <w:sz w:val="20"/>
              </w:rPr>
            </w:pPr>
            <w:r>
              <w:rPr>
                <w:color w:val="000000"/>
                <w:sz w:val="20"/>
              </w:rPr>
              <w:t>5,073</w:t>
            </w:r>
          </w:p>
        </w:tc>
        <w:tc>
          <w:tcPr>
            <w:tcW w:w="80" w:type="dxa"/>
            <w:tcBorders/>
            <w:vAlign w:val="bottom"/>
          </w:tcPr>
          <w:p>
            <w:pPr>
              <w:pStyle w:val="TableContents"/>
              <w:bidi w:val="0"/>
              <w:spacing w:before="0" w:after="283"/>
              <w:jc w:val="left"/>
              <w:rPr/>
            </w:pPr>
            <w:r>
              <w:rPr/>
              <w:t> </w:t>
            </w:r>
          </w:p>
        </w:tc>
      </w:tr>
      <w:tr>
        <w:trPr/>
        <w:tc>
          <w:tcPr>
            <w:tcW w:w="2795" w:type="dxa"/>
            <w:tcBorders/>
            <w:shd w:fill="CCEEFF" w:val="clear"/>
            <w:vAlign w:val="bottom"/>
          </w:tcPr>
          <w:p>
            <w:pPr>
              <w:pStyle w:val="TableContents"/>
              <w:bidi w:val="0"/>
              <w:spacing w:before="0" w:after="0"/>
              <w:jc w:val="left"/>
              <w:rPr>
                <w:color w:val="000000"/>
                <w:sz w:val="20"/>
              </w:rPr>
            </w:pPr>
            <w:r>
              <w:rPr>
                <w:color w:val="000000"/>
                <w:sz w:val="20"/>
              </w:rPr>
              <w:t>Leasehold improvements</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0"/>
              <w:jc w:val="right"/>
              <w:rPr>
                <w:color w:val="000000"/>
                <w:sz w:val="20"/>
              </w:rPr>
            </w:pPr>
            <w:r>
              <w:rPr>
                <w:color w:val="000000"/>
                <w:sz w:val="20"/>
              </w:rPr>
              <w:t>2,238</w:t>
            </w:r>
          </w:p>
        </w:tc>
        <w:tc>
          <w:tcPr>
            <w:tcW w:w="80" w:type="dxa"/>
            <w:tcBorders/>
            <w:shd w:fill="CCEEFF" w:val="clear"/>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0"/>
              <w:ind w:left="180" w:right="0" w:hanging="0"/>
              <w:jc w:val="left"/>
              <w:rPr>
                <w:color w:val="000000"/>
                <w:sz w:val="20"/>
              </w:rPr>
            </w:pPr>
            <w:r>
              <w:rPr>
                <w:color w:val="000000"/>
                <w:sz w:val="20"/>
              </w:rPr>
              <w:t>Total property and equipment</w:t>
            </w:r>
          </w:p>
        </w:tc>
        <w:tc>
          <w:tcPr>
            <w:tcW w:w="60" w:type="dxa"/>
            <w:tcBorders/>
            <w:vAlign w:val="bottom"/>
          </w:tcPr>
          <w:p>
            <w:pPr>
              <w:pStyle w:val="TableContents"/>
              <w:bidi w:val="0"/>
              <w:spacing w:before="0" w:after="283"/>
              <w:jc w:val="left"/>
              <w:rPr/>
            </w:pPr>
            <w:r>
              <w:rPr/>
              <w:t> </w:t>
            </w:r>
          </w:p>
        </w:tc>
        <w:tc>
          <w:tcPr>
            <w:tcW w:w="218" w:type="dxa"/>
            <w:tcBorders>
              <w:bottom w:val="single" w:sz="12" w:space="0" w:color="000000"/>
            </w:tcBorders>
            <w:tcMar>
              <w:bottom w:w="28" w:type="dxa"/>
            </w:tcMar>
            <w:vAlign w:val="bottom"/>
          </w:tcPr>
          <w:p>
            <w:pPr>
              <w:pStyle w:val="TableContents"/>
              <w:bidi w:val="0"/>
              <w:spacing w:before="0" w:after="283"/>
              <w:jc w:val="left"/>
              <w:rPr/>
            </w:pPr>
            <w:r>
              <w:rPr/>
              <w:t> </w:t>
            </w:r>
          </w:p>
        </w:tc>
        <w:tc>
          <w:tcPr>
            <w:tcW w:w="956"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7,377</w:t>
            </w:r>
          </w:p>
        </w:tc>
        <w:tc>
          <w:tcPr>
            <w:tcW w:w="80" w:type="dxa"/>
            <w:tcBorders/>
            <w:vAlign w:val="bottom"/>
          </w:tcPr>
          <w:p>
            <w:pPr>
              <w:pStyle w:val="TableContents"/>
              <w:bidi w:val="0"/>
              <w:spacing w:before="0" w:after="283"/>
              <w:jc w:val="left"/>
              <w:rPr/>
            </w:pPr>
            <w:r>
              <w:rPr/>
              <w:t> </w:t>
            </w:r>
          </w:p>
        </w:tc>
      </w:tr>
      <w:tr>
        <w:trPr/>
        <w:tc>
          <w:tcPr>
            <w:tcW w:w="2795" w:type="dxa"/>
            <w:tcBorders/>
            <w:shd w:fill="CCEEFF" w:val="clear"/>
            <w:vAlign w:val="bottom"/>
          </w:tcPr>
          <w:p>
            <w:pPr>
              <w:pStyle w:val="TableContents"/>
              <w:bidi w:val="0"/>
              <w:spacing w:before="0" w:after="0"/>
              <w:jc w:val="left"/>
              <w:rPr>
                <w:color w:val="000000"/>
                <w:sz w:val="20"/>
              </w:rPr>
            </w:pPr>
            <w:r>
              <w:rPr>
                <w:color w:val="000000"/>
                <w:sz w:val="20"/>
              </w:rPr>
              <w:t>Less: Accumulated depreciation</w:t>
            </w:r>
          </w:p>
        </w:tc>
        <w:tc>
          <w:tcPr>
            <w:tcW w:w="60" w:type="dxa"/>
            <w:tcBorders/>
            <w:shd w:fill="CCEEFF" w:val="clear"/>
            <w:vAlign w:val="bottom"/>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(3,426</w:t>
            </w:r>
          </w:p>
        </w:tc>
        <w:tc>
          <w:tcPr>
            <w:tcW w:w="80" w:type="dxa"/>
            <w:tcBorders/>
            <w:shd w:fill="CCEEFF" w:val="clear"/>
            <w:vAlign w:val="bottom"/>
          </w:tcPr>
          <w:p>
            <w:pPr>
              <w:pStyle w:val="TableContents"/>
              <w:bidi w:val="0"/>
              <w:spacing w:before="0" w:after="0"/>
              <w:jc w:val="left"/>
              <w:rPr>
                <w:color w:val="000000"/>
                <w:sz w:val="20"/>
              </w:rPr>
            </w:pPr>
            <w:r>
              <w:rPr>
                <w:color w:val="000000"/>
                <w:sz w:val="20"/>
              </w:rPr>
              <w:t>)</w:t>
            </w:r>
          </w:p>
        </w:tc>
      </w:tr>
      <w:tr>
        <w:trPr/>
        <w:tc>
          <w:tcPr>
            <w:tcW w:w="2795" w:type="dxa"/>
            <w:tcBorders/>
            <w:vAlign w:val="bottom"/>
          </w:tcPr>
          <w:p>
            <w:pPr>
              <w:pStyle w:val="TableContents"/>
              <w:bidi w:val="0"/>
              <w:spacing w:before="0" w:after="0"/>
              <w:ind w:left="180" w:right="0" w:hanging="0"/>
              <w:jc w:val="left"/>
              <w:rPr>
                <w:color w:val="000000"/>
                <w:sz w:val="20"/>
              </w:rPr>
            </w:pPr>
            <w:r>
              <w:rPr>
                <w:color w:val="000000"/>
                <w:sz w:val="20"/>
              </w:rPr>
              <w:t>Total property and equipment, net</w:t>
            </w:r>
          </w:p>
        </w:tc>
        <w:tc>
          <w:tcPr>
            <w:tcW w:w="60" w:type="dxa"/>
            <w:tcBorders/>
            <w:vAlign w:val="bottom"/>
          </w:tcPr>
          <w:p>
            <w:pPr>
              <w:pStyle w:val="TableContents"/>
              <w:bidi w:val="0"/>
              <w:spacing w:before="0" w:after="283"/>
              <w:jc w:val="left"/>
              <w:rPr/>
            </w:pPr>
            <w:r>
              <w:rPr/>
              <w:t> </w:t>
            </w:r>
          </w:p>
        </w:tc>
        <w:tc>
          <w:tcPr>
            <w:tcW w:w="218" w:type="dxa"/>
            <w:tcBorders>
              <w:bottom w:val="double" w:sz="8" w:space="0" w:color="000000"/>
            </w:tcBorders>
            <w:tcMar>
              <w:bottom w:w="28" w:type="dxa"/>
            </w:tcMar>
            <w:vAlign w:val="bottom"/>
          </w:tcPr>
          <w:p>
            <w:pPr>
              <w:pStyle w:val="TableContents"/>
              <w:bidi w:val="0"/>
              <w:spacing w:before="0" w:after="0"/>
              <w:jc w:val="left"/>
              <w:rPr>
                <w:color w:val="000000"/>
                <w:sz w:val="20"/>
              </w:rPr>
            </w:pPr>
            <w:r>
              <w:rPr>
                <w:color w:val="000000"/>
                <w:sz w:val="20"/>
              </w:rPr>
              <w:t>$</w:t>
            </w:r>
          </w:p>
        </w:tc>
        <w:tc>
          <w:tcPr>
            <w:tcW w:w="956"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3,951</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sz w:val="20"/>
        </w:rPr>
      </w:pPr>
      <w:r>
        <w:rPr>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Depreciation expenses for the year ended December 31, 2025, were $814.</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Accrued expenses and other current liabilities included the following:</w:t>
      </w:r>
    </w:p>
    <w:p>
      <w:pPr>
        <w:pStyle w:val="TextBody"/>
        <w:bidi w:val="0"/>
        <w:spacing w:before="0" w:after="0"/>
        <w:jc w:val="left"/>
        <w:rPr>
          <w:color w:val="000000"/>
          <w:sz w:val="20"/>
        </w:rPr>
      </w:pPr>
      <w:r>
        <w:rPr>
          <w:color w:val="000000"/>
          <w:sz w:val="20"/>
        </w:rPr>
      </w:r>
    </w:p>
    <w:p>
      <w:pPr>
        <w:pStyle w:val="Normal"/>
        <w:bidi w:val="0"/>
        <w:spacing w:before="0" w:after="0"/>
        <w:jc w:val="left"/>
        <w:rPr>
          <w:sz w:val="4"/>
          <w:szCs w:val="4"/>
        </w:rPr>
      </w:pPr>
      <w:r>
        <w:rPr>
          <w:sz w:val="4"/>
          <w:szCs w:val="4"/>
        </w:rPr>
      </w:r>
      <w:bookmarkStart w:id="72" w:name="zafb6937cea68495aa140e26b7d7f501b"/>
      <w:bookmarkStart w:id="73" w:name="zafb6937cea68495aa140e26b7d7f501b"/>
      <w:bookmarkEnd w:id="73"/>
    </w:p>
    <w:tbl>
      <w:tblPr>
        <w:tblW w:w="5499" w:type="dxa"/>
        <w:jc w:val="left"/>
        <w:tblInd w:w="0" w:type="dxa"/>
        <w:tblLayout w:type="fixed"/>
        <w:tblCellMar>
          <w:top w:w="0" w:type="dxa"/>
          <w:left w:w="0" w:type="dxa"/>
          <w:bottom w:w="0" w:type="dxa"/>
          <w:right w:w="0" w:type="dxa"/>
        </w:tblCellMar>
      </w:tblPr>
      <w:tblGrid>
        <w:gridCol w:w="4160"/>
        <w:gridCol w:w="60"/>
        <w:gridCol w:w="249"/>
        <w:gridCol w:w="970"/>
        <w:gridCol w:w="60"/>
      </w:tblGrid>
      <w:tr>
        <w:trPr/>
        <w:tc>
          <w:tcPr>
            <w:tcW w:w="4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 xml:space="preserve">December 31, </w:t>
            </w:r>
          </w:p>
          <w:p>
            <w:pPr>
              <w:pStyle w:val="TableContents"/>
              <w:bidi w:val="0"/>
              <w:spacing w:before="0" w:after="0"/>
              <w:jc w:val="center"/>
              <w:rPr>
                <w:b/>
                <w:color w:val="000000"/>
                <w:sz w:val="20"/>
              </w:rPr>
            </w:pPr>
            <w:r>
              <w:rPr>
                <w:b/>
                <w:color w:val="000000"/>
                <w:sz w:val="20"/>
              </w:rPr>
              <w:t>2025</w:t>
            </w:r>
          </w:p>
        </w:tc>
        <w:tc>
          <w:tcPr>
            <w:tcW w:w="60" w:type="dxa"/>
            <w:tcBorders/>
            <w:vAlign w:val="bottom"/>
          </w:tcPr>
          <w:p>
            <w:pPr>
              <w:pStyle w:val="TableContents"/>
              <w:bidi w:val="0"/>
              <w:spacing w:before="0" w:after="283"/>
              <w:jc w:val="left"/>
              <w:rPr/>
            </w:pPr>
            <w:r>
              <w:rPr/>
              <w:t> </w:t>
            </w:r>
          </w:p>
        </w:tc>
      </w:tr>
      <w:tr>
        <w:trPr/>
        <w:tc>
          <w:tcPr>
            <w:tcW w:w="4160" w:type="dxa"/>
            <w:tcBorders/>
            <w:shd w:fill="CCEEFF" w:val="clear"/>
            <w:vAlign w:val="bottom"/>
          </w:tcPr>
          <w:p>
            <w:pPr>
              <w:pStyle w:val="TableContents"/>
              <w:bidi w:val="0"/>
              <w:spacing w:before="0" w:after="0"/>
              <w:jc w:val="left"/>
              <w:rPr>
                <w:color w:val="000000"/>
                <w:sz w:val="20"/>
              </w:rPr>
            </w:pPr>
            <w:r>
              <w:rPr>
                <w:color w:val="000000"/>
                <w:sz w:val="20"/>
              </w:rPr>
              <w:t>Accrued compensation and benefits</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0"/>
              <w:jc w:val="left"/>
              <w:rPr>
                <w:color w:val="000000"/>
                <w:sz w:val="20"/>
              </w:rPr>
            </w:pPr>
            <w:r>
              <w:rPr>
                <w:color w:val="000000"/>
                <w:sz w:val="20"/>
              </w:rPr>
              <w:t>$</w:t>
            </w:r>
          </w:p>
        </w:tc>
        <w:tc>
          <w:tcPr>
            <w:tcW w:w="970" w:type="dxa"/>
            <w:tcBorders/>
            <w:shd w:fill="CCEEFF" w:val="clear"/>
            <w:vAlign w:val="bottom"/>
          </w:tcPr>
          <w:p>
            <w:pPr>
              <w:pStyle w:val="TableContents"/>
              <w:bidi w:val="0"/>
              <w:spacing w:before="0" w:after="0"/>
              <w:jc w:val="right"/>
              <w:rPr>
                <w:color w:val="000000"/>
                <w:sz w:val="20"/>
              </w:rPr>
            </w:pPr>
            <w:r>
              <w:rPr>
                <w:color w:val="000000"/>
                <w:sz w:val="20"/>
              </w:rPr>
              <w:t>1,333</w:t>
            </w:r>
          </w:p>
        </w:tc>
        <w:tc>
          <w:tcPr>
            <w:tcW w:w="60" w:type="dxa"/>
            <w:tcBorders/>
            <w:shd w:fill="CCEEFF" w:val="clear"/>
            <w:vAlign w:val="bottom"/>
          </w:tcPr>
          <w:p>
            <w:pPr>
              <w:pStyle w:val="TableContents"/>
              <w:bidi w:val="0"/>
              <w:spacing w:before="0" w:after="283"/>
              <w:jc w:val="left"/>
              <w:rPr/>
            </w:pPr>
            <w:r>
              <w:rPr/>
              <w:t> </w:t>
            </w:r>
          </w:p>
        </w:tc>
      </w:tr>
      <w:tr>
        <w:trPr/>
        <w:tc>
          <w:tcPr>
            <w:tcW w:w="4160" w:type="dxa"/>
            <w:tcBorders/>
            <w:vAlign w:val="bottom"/>
          </w:tcPr>
          <w:p>
            <w:pPr>
              <w:pStyle w:val="TableContents"/>
              <w:bidi w:val="0"/>
              <w:spacing w:before="0" w:after="0"/>
              <w:jc w:val="left"/>
              <w:rPr>
                <w:color w:val="000000"/>
                <w:sz w:val="20"/>
              </w:rPr>
            </w:pPr>
            <w:r>
              <w:rPr>
                <w:color w:val="000000"/>
                <w:sz w:val="20"/>
              </w:rPr>
              <w:t>Renovation service fee</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color w:val="000000"/>
                <w:sz w:val="20"/>
              </w:rPr>
            </w:pPr>
            <w:r>
              <w:rPr>
                <w:color w:val="000000"/>
                <w:sz w:val="20"/>
              </w:rPr>
              <w:t>15</w:t>
            </w:r>
          </w:p>
        </w:tc>
        <w:tc>
          <w:tcPr>
            <w:tcW w:w="60" w:type="dxa"/>
            <w:tcBorders/>
            <w:vAlign w:val="bottom"/>
          </w:tcPr>
          <w:p>
            <w:pPr>
              <w:pStyle w:val="TableContents"/>
              <w:bidi w:val="0"/>
              <w:spacing w:before="0" w:after="283"/>
              <w:jc w:val="left"/>
              <w:rPr/>
            </w:pPr>
            <w:r>
              <w:rPr/>
              <w:t> </w:t>
            </w:r>
          </w:p>
        </w:tc>
      </w:tr>
      <w:tr>
        <w:trPr/>
        <w:tc>
          <w:tcPr>
            <w:tcW w:w="4160" w:type="dxa"/>
            <w:tcBorders/>
            <w:shd w:fill="CCEEFF" w:val="clear"/>
            <w:vAlign w:val="bottom"/>
          </w:tcPr>
          <w:p>
            <w:pPr>
              <w:pStyle w:val="TableContents"/>
              <w:bidi w:val="0"/>
              <w:spacing w:before="0" w:after="0"/>
              <w:jc w:val="left"/>
              <w:rPr>
                <w:color w:val="000000"/>
                <w:sz w:val="20"/>
              </w:rPr>
            </w:pPr>
            <w:r>
              <w:rPr>
                <w:color w:val="000000"/>
                <w:sz w:val="20"/>
              </w:rPr>
              <w:t>Accrued taxes</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color w:val="000000"/>
                <w:sz w:val="20"/>
              </w:rPr>
            </w:pPr>
            <w:r>
              <w:rPr>
                <w:color w:val="000000"/>
                <w:sz w:val="20"/>
              </w:rPr>
              <w:t>194</w:t>
            </w:r>
          </w:p>
        </w:tc>
        <w:tc>
          <w:tcPr>
            <w:tcW w:w="60" w:type="dxa"/>
            <w:tcBorders/>
            <w:shd w:fill="CCEEFF" w:val="clear"/>
            <w:vAlign w:val="bottom"/>
          </w:tcPr>
          <w:p>
            <w:pPr>
              <w:pStyle w:val="TableContents"/>
              <w:bidi w:val="0"/>
              <w:spacing w:before="0" w:after="283"/>
              <w:jc w:val="left"/>
              <w:rPr/>
            </w:pPr>
            <w:r>
              <w:rPr/>
              <w:t> </w:t>
            </w:r>
          </w:p>
        </w:tc>
      </w:tr>
      <w:tr>
        <w:trPr/>
        <w:tc>
          <w:tcPr>
            <w:tcW w:w="4160" w:type="dxa"/>
            <w:tcBorders/>
            <w:vAlign w:val="bottom"/>
          </w:tcPr>
          <w:p>
            <w:pPr>
              <w:pStyle w:val="TableContents"/>
              <w:bidi w:val="0"/>
              <w:spacing w:before="0" w:after="0"/>
              <w:jc w:val="left"/>
              <w:rPr>
                <w:color w:val="000000"/>
                <w:sz w:val="20"/>
              </w:rPr>
            </w:pPr>
            <w:r>
              <w:rPr>
                <w:color w:val="000000"/>
                <w:sz w:val="20"/>
              </w:rPr>
              <w:t>Accrued expenses</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color w:val="000000"/>
                <w:sz w:val="20"/>
              </w:rPr>
            </w:pPr>
            <w:r>
              <w:rPr>
                <w:color w:val="000000"/>
                <w:sz w:val="20"/>
              </w:rPr>
              <w:t>1,039</w:t>
            </w:r>
          </w:p>
        </w:tc>
        <w:tc>
          <w:tcPr>
            <w:tcW w:w="60" w:type="dxa"/>
            <w:tcBorders/>
            <w:vAlign w:val="bottom"/>
          </w:tcPr>
          <w:p>
            <w:pPr>
              <w:pStyle w:val="TableContents"/>
              <w:bidi w:val="0"/>
              <w:spacing w:before="0" w:after="283"/>
              <w:jc w:val="left"/>
              <w:rPr/>
            </w:pPr>
            <w:r>
              <w:rPr/>
              <w:t> </w:t>
            </w:r>
          </w:p>
        </w:tc>
      </w:tr>
      <w:tr>
        <w:trPr/>
        <w:tc>
          <w:tcPr>
            <w:tcW w:w="4160" w:type="dxa"/>
            <w:tcBorders/>
            <w:shd w:fill="CCEEFF" w:val="clear"/>
            <w:vAlign w:val="bottom"/>
          </w:tcPr>
          <w:p>
            <w:pPr>
              <w:pStyle w:val="TableContents"/>
              <w:bidi w:val="0"/>
              <w:spacing w:before="0" w:after="0"/>
              <w:jc w:val="left"/>
              <w:rPr>
                <w:color w:val="000000"/>
                <w:sz w:val="20"/>
              </w:rPr>
            </w:pPr>
            <w:r>
              <w:rPr>
                <w:color w:val="000000"/>
                <w:sz w:val="20"/>
              </w:rPr>
              <w:t>Others</w:t>
            </w:r>
          </w:p>
        </w:tc>
        <w:tc>
          <w:tcPr>
            <w:tcW w:w="60" w:type="dxa"/>
            <w:tcBorders/>
            <w:shd w:fill="CCEEFF" w:val="clear"/>
            <w:vAlign w:val="bottom"/>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52</w:t>
            </w:r>
          </w:p>
        </w:tc>
        <w:tc>
          <w:tcPr>
            <w:tcW w:w="60" w:type="dxa"/>
            <w:tcBorders/>
            <w:shd w:fill="CCEEFF" w:val="clear"/>
            <w:vAlign w:val="bottom"/>
          </w:tcPr>
          <w:p>
            <w:pPr>
              <w:pStyle w:val="TableContents"/>
              <w:bidi w:val="0"/>
              <w:spacing w:before="0" w:after="283"/>
              <w:jc w:val="left"/>
              <w:rPr/>
            </w:pPr>
            <w:r>
              <w:rPr/>
              <w:t> </w:t>
            </w:r>
          </w:p>
        </w:tc>
      </w:tr>
      <w:tr>
        <w:trPr/>
        <w:tc>
          <w:tcPr>
            <w:tcW w:w="4160" w:type="dxa"/>
            <w:tcBorders/>
            <w:vAlign w:val="bottom"/>
          </w:tcPr>
          <w:p>
            <w:pPr>
              <w:pStyle w:val="TableContents"/>
              <w:bidi w:val="0"/>
              <w:spacing w:before="0" w:after="0"/>
              <w:ind w:left="180" w:right="0" w:hanging="0"/>
              <w:jc w:val="left"/>
              <w:rPr>
                <w:color w:val="000000"/>
                <w:sz w:val="20"/>
              </w:rPr>
            </w:pPr>
            <w:r>
              <w:rPr>
                <w:color w:val="000000"/>
                <w:sz w:val="20"/>
              </w:rPr>
              <w:t>Total accrued expenses and other current liabilities</w:t>
            </w:r>
          </w:p>
        </w:tc>
        <w:tc>
          <w:tcPr>
            <w:tcW w:w="60" w:type="dxa"/>
            <w:tcBorders/>
            <w:vAlign w:val="bottom"/>
          </w:tcPr>
          <w:p>
            <w:pPr>
              <w:pStyle w:val="TableContents"/>
              <w:bidi w:val="0"/>
              <w:spacing w:before="0" w:after="283"/>
              <w:jc w:val="left"/>
              <w:rPr/>
            </w:pPr>
            <w:r>
              <w:rPr/>
              <w:t> </w:t>
            </w:r>
          </w:p>
        </w:tc>
        <w:tc>
          <w:tcPr>
            <w:tcW w:w="249" w:type="dxa"/>
            <w:tcBorders>
              <w:bottom w:val="double" w:sz="8" w:space="0" w:color="000000"/>
            </w:tcBorders>
            <w:tcMar>
              <w:bottom w:w="28" w:type="dxa"/>
            </w:tcMar>
            <w:vAlign w:val="bottom"/>
          </w:tcPr>
          <w:p>
            <w:pPr>
              <w:pStyle w:val="TableContents"/>
              <w:bidi w:val="0"/>
              <w:spacing w:before="0" w:after="0"/>
              <w:jc w:val="left"/>
              <w:rPr>
                <w:color w:val="000000"/>
                <w:sz w:val="20"/>
              </w:rPr>
            </w:pPr>
            <w:r>
              <w:rPr>
                <w:color w:val="000000"/>
                <w:sz w:val="20"/>
              </w:rPr>
              <w:t>$</w:t>
            </w:r>
          </w:p>
        </w:tc>
        <w:tc>
          <w:tcPr>
            <w:tcW w:w="970"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2,633</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left"/>
        <w:rPr>
          <w:b w:val="false"/>
          <w:color w:val="000000"/>
          <w:sz w:val="20"/>
        </w:rPr>
      </w:pPr>
      <w:r>
        <w:rPr>
          <w:b w:val="false"/>
          <w:color w:val="000000"/>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 Leases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leases facilities under noncancelable operating leases maturing at various dates through February 2037.</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components of lease expense are as follows: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4" w:name="zb9d9a4f3524b4a949c061d77b36c3f64"/>
      <w:bookmarkStart w:id="75" w:name="zb9d9a4f3524b4a949c061d77b36c3f64"/>
      <w:bookmarkEnd w:id="75"/>
    </w:p>
    <w:tbl>
      <w:tblPr>
        <w:tblW w:w="3325" w:type="dxa"/>
        <w:jc w:val="left"/>
        <w:tblInd w:w="0" w:type="dxa"/>
        <w:tblLayout w:type="fixed"/>
        <w:tblCellMar>
          <w:top w:w="0" w:type="dxa"/>
          <w:left w:w="0" w:type="dxa"/>
          <w:bottom w:w="0" w:type="dxa"/>
          <w:right w:w="0" w:type="dxa"/>
        </w:tblCellMar>
      </w:tblPr>
      <w:tblGrid>
        <w:gridCol w:w="1985"/>
        <w:gridCol w:w="60"/>
        <w:gridCol w:w="331"/>
        <w:gridCol w:w="889"/>
        <w:gridCol w:w="60"/>
      </w:tblGrid>
      <w:tr>
        <w:trPr/>
        <w:tc>
          <w:tcPr>
            <w:tcW w:w="1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 xml:space="preserve">Year Ended </w:t>
            </w:r>
          </w:p>
          <w:p>
            <w:pPr>
              <w:pStyle w:val="TableContents"/>
              <w:bidi w:val="0"/>
              <w:spacing w:before="0" w:after="0"/>
              <w:jc w:val="center"/>
              <w:rPr>
                <w:b/>
                <w:color w:val="000000"/>
                <w:sz w:val="20"/>
              </w:rPr>
            </w:pPr>
            <w:r>
              <w:rPr>
                <w:b/>
                <w:color w:val="000000"/>
                <w:sz w:val="20"/>
              </w:rPr>
              <w:t xml:space="preserve">December 31, </w:t>
            </w:r>
          </w:p>
          <w:p>
            <w:pPr>
              <w:pStyle w:val="TableContents"/>
              <w:bidi w:val="0"/>
              <w:spacing w:before="0" w:after="0"/>
              <w:jc w:val="center"/>
              <w:rPr>
                <w:b/>
                <w:color w:val="000000"/>
                <w:sz w:val="20"/>
              </w:rPr>
            </w:pPr>
            <w:r>
              <w:rPr>
                <w:b/>
                <w:color w:val="000000"/>
                <w:sz w:val="20"/>
              </w:rPr>
              <w:t xml:space="preserve">2025 </w:t>
            </w:r>
          </w:p>
        </w:tc>
        <w:tc>
          <w:tcPr>
            <w:tcW w:w="60" w:type="dxa"/>
            <w:tcBorders/>
            <w:vAlign w:val="bottom"/>
          </w:tcPr>
          <w:p>
            <w:pPr>
              <w:pStyle w:val="TableContents"/>
              <w:bidi w:val="0"/>
              <w:spacing w:before="0" w:after="283"/>
              <w:jc w:val="left"/>
              <w:rPr/>
            </w:pPr>
            <w:r>
              <w:rPr/>
              <w:t> </w:t>
            </w:r>
          </w:p>
        </w:tc>
      </w:tr>
      <w:tr>
        <w:trPr/>
        <w:tc>
          <w:tcPr>
            <w:tcW w:w="1985" w:type="dxa"/>
            <w:tcBorders/>
            <w:shd w:fill="CCEEFF" w:val="clear"/>
            <w:vAlign w:val="bottom"/>
          </w:tcPr>
          <w:p>
            <w:pPr>
              <w:pStyle w:val="TableContents"/>
              <w:bidi w:val="0"/>
              <w:spacing w:before="0" w:after="0"/>
              <w:jc w:val="both"/>
              <w:rPr>
                <w:color w:val="000000"/>
                <w:sz w:val="20"/>
              </w:rPr>
            </w:pPr>
            <w:r>
              <w:rPr>
                <w:color w:val="000000"/>
                <w:sz w:val="20"/>
              </w:rPr>
              <w:t>Operating lease expense</w:t>
            </w:r>
          </w:p>
        </w:tc>
        <w:tc>
          <w:tcPr>
            <w:tcW w:w="60" w:type="dxa"/>
            <w:tcBorders/>
            <w:shd w:fill="CCEEFF" w:val="clear"/>
            <w:vAlign w:val="bottom"/>
          </w:tcPr>
          <w:p>
            <w:pPr>
              <w:pStyle w:val="TableContents"/>
              <w:bidi w:val="0"/>
              <w:spacing w:before="0" w:after="283"/>
              <w:jc w:val="right"/>
              <w:rPr/>
            </w:pPr>
            <w:r>
              <w:rPr/>
              <w:t> </w:t>
            </w:r>
          </w:p>
        </w:tc>
        <w:tc>
          <w:tcPr>
            <w:tcW w:w="331" w:type="dxa"/>
            <w:tcBorders/>
            <w:shd w:fill="CCEEFF" w:val="clear"/>
            <w:vAlign w:val="bottom"/>
          </w:tcPr>
          <w:p>
            <w:pPr>
              <w:pStyle w:val="TableContents"/>
              <w:bidi w:val="0"/>
              <w:spacing w:before="0" w:after="0"/>
              <w:jc w:val="center"/>
              <w:rPr>
                <w:color w:val="000000"/>
                <w:sz w:val="20"/>
              </w:rPr>
            </w:pPr>
            <w:r>
              <w:rPr>
                <w:color w:val="000000"/>
                <w:sz w:val="20"/>
              </w:rPr>
              <w:t>$</w:t>
            </w:r>
          </w:p>
        </w:tc>
        <w:tc>
          <w:tcPr>
            <w:tcW w:w="889" w:type="dxa"/>
            <w:tcBorders/>
            <w:shd w:fill="CCEEFF" w:val="clear"/>
            <w:vAlign w:val="bottom"/>
          </w:tcPr>
          <w:p>
            <w:pPr>
              <w:pStyle w:val="TableContents"/>
              <w:bidi w:val="0"/>
              <w:spacing w:before="0" w:after="0"/>
              <w:jc w:val="right"/>
              <w:rPr>
                <w:color w:val="000000"/>
                <w:sz w:val="20"/>
              </w:rPr>
            </w:pPr>
            <w:r>
              <w:rPr>
                <w:color w:val="000000"/>
                <w:sz w:val="20"/>
              </w:rPr>
              <w:t>834</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Company’s short-term lease expense for the year is immaterial to the financial statements. As of December 31, 2025, the Company had no significant lease contract that has been entered into but not yet commenced.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weighted average remaining lease term and discount rate related to the Company’s operating leases are as follows:</w:t>
      </w:r>
    </w:p>
    <w:p>
      <w:pPr>
        <w:pStyle w:val="TextBody"/>
        <w:bidi w:val="0"/>
        <w:spacing w:before="0" w:after="0"/>
        <w:jc w:val="both"/>
        <w:rPr>
          <w:color w:val="000000"/>
          <w:sz w:val="20"/>
        </w:rPr>
      </w:pPr>
      <w:r>
        <w:rPr>
          <w:color w:val="000000"/>
          <w:sz w:val="20"/>
        </w:rPr>
      </w:r>
    </w:p>
    <w:p>
      <w:pPr>
        <w:pStyle w:val="Normal"/>
        <w:bidi w:val="0"/>
        <w:spacing w:before="0" w:after="0"/>
        <w:jc w:val="left"/>
        <w:rPr>
          <w:sz w:val="4"/>
          <w:szCs w:val="4"/>
        </w:rPr>
      </w:pPr>
      <w:r>
        <w:rPr>
          <w:sz w:val="4"/>
          <w:szCs w:val="4"/>
        </w:rPr>
      </w:r>
      <w:bookmarkStart w:id="76" w:name="z5ca91042c26443afa555709c1b2f3813"/>
      <w:bookmarkStart w:id="77" w:name="z5ca91042c26443afa555709c1b2f3813"/>
      <w:bookmarkEnd w:id="77"/>
    </w:p>
    <w:tbl>
      <w:tblPr>
        <w:tblW w:w="4619" w:type="dxa"/>
        <w:jc w:val="left"/>
        <w:tblInd w:w="0" w:type="dxa"/>
        <w:tblLayout w:type="fixed"/>
        <w:tblCellMar>
          <w:top w:w="0" w:type="dxa"/>
          <w:left w:w="0" w:type="dxa"/>
          <w:bottom w:w="0" w:type="dxa"/>
          <w:right w:w="0" w:type="dxa"/>
        </w:tblCellMar>
      </w:tblPr>
      <w:tblGrid>
        <w:gridCol w:w="3155"/>
        <w:gridCol w:w="60"/>
        <w:gridCol w:w="165"/>
        <w:gridCol w:w="1054"/>
        <w:gridCol w:w="185"/>
      </w:tblGrid>
      <w:tr>
        <w:trPr/>
        <w:tc>
          <w:tcPr>
            <w:tcW w:w="3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 xml:space="preserve">December 31, </w:t>
            </w:r>
          </w:p>
          <w:p>
            <w:pPr>
              <w:pStyle w:val="TableContents"/>
              <w:bidi w:val="0"/>
              <w:spacing w:before="0" w:after="0"/>
              <w:jc w:val="center"/>
              <w:rPr>
                <w:b/>
                <w:color w:val="000000"/>
                <w:sz w:val="20"/>
              </w:rPr>
            </w:pPr>
            <w:r>
              <w:rPr>
                <w:b/>
                <w:color w:val="000000"/>
                <w:sz w:val="20"/>
              </w:rPr>
              <w:t>2025</w:t>
            </w:r>
          </w:p>
        </w:tc>
        <w:tc>
          <w:tcPr>
            <w:tcW w:w="18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jc w:val="both"/>
              <w:rPr>
                <w:color w:val="000000"/>
                <w:sz w:val="20"/>
              </w:rPr>
            </w:pPr>
            <w:r>
              <w:rPr>
                <w:color w:val="000000"/>
                <w:sz w:val="20"/>
              </w:rPr>
              <w:t>Weighted-average lease term (in years)</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center"/>
              <w:rPr/>
            </w:pPr>
            <w:r>
              <w:rPr/>
              <w:t> </w:t>
            </w:r>
          </w:p>
        </w:tc>
        <w:tc>
          <w:tcPr>
            <w:tcW w:w="1054" w:type="dxa"/>
            <w:tcBorders/>
            <w:shd w:fill="CCEEFF" w:val="clear"/>
            <w:vAlign w:val="bottom"/>
          </w:tcPr>
          <w:p>
            <w:pPr>
              <w:pStyle w:val="TableContents"/>
              <w:bidi w:val="0"/>
              <w:spacing w:before="0" w:after="0"/>
              <w:jc w:val="right"/>
              <w:rPr>
                <w:color w:val="000000"/>
                <w:sz w:val="20"/>
              </w:rPr>
            </w:pPr>
            <w:r>
              <w:rPr>
                <w:color w:val="000000"/>
                <w:sz w:val="20"/>
              </w:rPr>
              <w:t>9.95</w:t>
            </w:r>
          </w:p>
        </w:tc>
        <w:tc>
          <w:tcPr>
            <w:tcW w:w="185"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jc w:val="both"/>
              <w:rPr>
                <w:color w:val="000000"/>
                <w:sz w:val="20"/>
              </w:rPr>
            </w:pPr>
            <w:r>
              <w:rPr>
                <w:color w:val="000000"/>
                <w:sz w:val="20"/>
              </w:rPr>
              <w:t>Weighted-average discount rate</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center"/>
              <w:rPr/>
            </w:pPr>
            <w:r>
              <w:rPr/>
              <w:t> </w:t>
            </w:r>
          </w:p>
        </w:tc>
        <w:tc>
          <w:tcPr>
            <w:tcW w:w="1054" w:type="dxa"/>
            <w:tcBorders/>
            <w:vAlign w:val="bottom"/>
          </w:tcPr>
          <w:p>
            <w:pPr>
              <w:pStyle w:val="TableContents"/>
              <w:bidi w:val="0"/>
              <w:spacing w:before="0" w:after="0"/>
              <w:jc w:val="right"/>
              <w:rPr>
                <w:color w:val="000000"/>
                <w:sz w:val="20"/>
              </w:rPr>
            </w:pPr>
            <w:r>
              <w:rPr>
                <w:color w:val="000000"/>
                <w:sz w:val="20"/>
              </w:rPr>
              <w:t>9.42</w:t>
            </w:r>
          </w:p>
        </w:tc>
        <w:tc>
          <w:tcPr>
            <w:tcW w:w="185" w:type="dxa"/>
            <w:tcBorders/>
            <w:vAlign w:val="bottom"/>
          </w:tcPr>
          <w:p>
            <w:pPr>
              <w:pStyle w:val="TableContents"/>
              <w:bidi w:val="0"/>
              <w:spacing w:before="0" w:after="0"/>
              <w:jc w:val="left"/>
              <w:rPr>
                <w:color w:val="000000"/>
                <w:sz w:val="20"/>
              </w:rPr>
            </w:pPr>
            <w:r>
              <w:rPr>
                <w:color w:val="000000"/>
                <w:sz w:val="20"/>
              </w:rPr>
              <w:t>%</w:t>
            </w:r>
          </w:p>
        </w:tc>
      </w:tr>
    </w:tbl>
    <w:p>
      <w:pPr>
        <w:pStyle w:val="TextBody"/>
        <w:bidi w:val="0"/>
        <w:spacing w:before="0" w:after="0"/>
        <w:jc w:val="both"/>
        <w:rPr>
          <w:color w:val="000000"/>
          <w:sz w:val="20"/>
        </w:rPr>
      </w:pPr>
      <w:r>
        <w:rPr>
          <w:color w:val="000000"/>
          <w:sz w:val="20"/>
        </w:rPr>
      </w:r>
    </w:p>
    <w:p>
      <w:pPr>
        <w:pStyle w:val="TextBody"/>
        <w:bidi w:val="0"/>
        <w:jc w:val="both"/>
        <w:rPr>
          <w:rFonts w:ascii="Times New Roman" w:hAnsi="Times New Roman"/>
          <w:color w:val="000000"/>
          <w:sz w:val="20"/>
        </w:rPr>
      </w:pPr>
      <w:r>
        <w:rPr>
          <w:rFonts w:ascii="Times New Roman" w:hAnsi="Times New Roman"/>
          <w:color w:val="000000"/>
          <w:sz w:val="20"/>
        </w:rPr>
        <w:t>The following information represents supplemental disclosure for the statement of cash flows related to the operating leases:</w:t>
      </w:r>
    </w:p>
    <w:p>
      <w:pPr>
        <w:pStyle w:val="Normal"/>
        <w:bidi w:val="0"/>
        <w:spacing w:before="0" w:after="0"/>
        <w:jc w:val="left"/>
        <w:rPr>
          <w:sz w:val="4"/>
          <w:szCs w:val="4"/>
        </w:rPr>
      </w:pPr>
      <w:r>
        <w:rPr>
          <w:sz w:val="4"/>
          <w:szCs w:val="4"/>
        </w:rPr>
      </w:r>
      <w:bookmarkStart w:id="78" w:name="zd4658f7b01884d99859b4d17308744bb"/>
      <w:bookmarkStart w:id="79" w:name="zd4658f7b01884d99859b4d17308744bb"/>
      <w:bookmarkEnd w:id="79"/>
    </w:p>
    <w:tbl>
      <w:tblPr>
        <w:tblW w:w="7045" w:type="dxa"/>
        <w:jc w:val="left"/>
        <w:tblInd w:w="0" w:type="dxa"/>
        <w:tblLayout w:type="fixed"/>
        <w:tblCellMar>
          <w:top w:w="0" w:type="dxa"/>
          <w:left w:w="0" w:type="dxa"/>
          <w:bottom w:w="0" w:type="dxa"/>
          <w:right w:w="0" w:type="dxa"/>
        </w:tblCellMar>
      </w:tblPr>
      <w:tblGrid>
        <w:gridCol w:w="5705"/>
        <w:gridCol w:w="60"/>
        <w:gridCol w:w="331"/>
        <w:gridCol w:w="889"/>
        <w:gridCol w:w="60"/>
      </w:tblGrid>
      <w:tr>
        <w:trPr/>
        <w:tc>
          <w:tcPr>
            <w:tcW w:w="57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 xml:space="preserve">Year Ended </w:t>
            </w:r>
          </w:p>
          <w:p>
            <w:pPr>
              <w:pStyle w:val="TableContents"/>
              <w:bidi w:val="0"/>
              <w:spacing w:before="0" w:after="0"/>
              <w:jc w:val="center"/>
              <w:rPr>
                <w:b/>
                <w:color w:val="000000"/>
                <w:sz w:val="20"/>
              </w:rPr>
            </w:pPr>
            <w:r>
              <w:rPr>
                <w:b/>
                <w:color w:val="000000"/>
                <w:sz w:val="20"/>
              </w:rPr>
              <w:t xml:space="preserve">December 31, </w:t>
            </w:r>
          </w:p>
          <w:p>
            <w:pPr>
              <w:pStyle w:val="TableContents"/>
              <w:bidi w:val="0"/>
              <w:spacing w:before="0" w:after="0"/>
              <w:jc w:val="center"/>
              <w:rPr>
                <w:b/>
                <w:color w:val="000000"/>
                <w:sz w:val="20"/>
              </w:rPr>
            </w:pPr>
            <w:r>
              <w:rPr>
                <w:b/>
                <w:color w:val="000000"/>
                <w:sz w:val="20"/>
              </w:rPr>
              <w:t xml:space="preserve">2025 </w:t>
            </w:r>
          </w:p>
        </w:tc>
        <w:tc>
          <w:tcPr>
            <w:tcW w:w="60" w:type="dxa"/>
            <w:tcBorders/>
            <w:vAlign w:val="bottom"/>
          </w:tcPr>
          <w:p>
            <w:pPr>
              <w:pStyle w:val="TableContents"/>
              <w:bidi w:val="0"/>
              <w:spacing w:before="0" w:after="283"/>
              <w:jc w:val="left"/>
              <w:rPr/>
            </w:pPr>
            <w:r>
              <w:rPr/>
              <w:t> </w:t>
            </w:r>
          </w:p>
        </w:tc>
      </w:tr>
      <w:tr>
        <w:trPr/>
        <w:tc>
          <w:tcPr>
            <w:tcW w:w="5705" w:type="dxa"/>
            <w:tcBorders/>
            <w:vAlign w:val="bottom"/>
          </w:tcPr>
          <w:p>
            <w:pPr>
              <w:pStyle w:val="TableContents"/>
              <w:bidi w:val="0"/>
              <w:spacing w:before="0" w:after="0"/>
              <w:jc w:val="both"/>
              <w:rPr>
                <w:color w:val="000000"/>
                <w:sz w:val="20"/>
              </w:rPr>
            </w:pPr>
            <w:r>
              <w:rPr>
                <w:color w:val="000000"/>
                <w:sz w:val="20"/>
              </w:rPr>
              <w:t>Cash paid for amounts included in the measurement of lease liabilities</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r>
      <w:tr>
        <w:trPr/>
        <w:tc>
          <w:tcPr>
            <w:tcW w:w="5705" w:type="dxa"/>
            <w:tcBorders/>
            <w:shd w:fill="CCEEFF" w:val="clear"/>
            <w:vAlign w:val="bottom"/>
          </w:tcPr>
          <w:p>
            <w:pPr>
              <w:pStyle w:val="TableContents"/>
              <w:bidi w:val="0"/>
              <w:spacing w:before="0" w:after="0"/>
              <w:jc w:val="both"/>
              <w:rPr>
                <w:color w:val="000000"/>
                <w:sz w:val="20"/>
              </w:rPr>
            </w:pPr>
            <w:r>
              <w:rPr>
                <w:color w:val="000000"/>
                <w:sz w:val="20"/>
              </w:rPr>
              <w:t>Operating cash flows under operating leases</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0"/>
              <w:jc w:val="center"/>
              <w:rPr>
                <w:color w:val="000000"/>
                <w:sz w:val="20"/>
              </w:rPr>
            </w:pPr>
            <w:r>
              <w:rPr>
                <w:color w:val="000000"/>
                <w:sz w:val="20"/>
              </w:rPr>
              <w:t>$</w:t>
            </w:r>
          </w:p>
        </w:tc>
        <w:tc>
          <w:tcPr>
            <w:tcW w:w="889" w:type="dxa"/>
            <w:tcBorders/>
            <w:shd w:fill="CCEEFF" w:val="clear"/>
            <w:vAlign w:val="bottom"/>
          </w:tcPr>
          <w:p>
            <w:pPr>
              <w:pStyle w:val="TableContents"/>
              <w:bidi w:val="0"/>
              <w:spacing w:before="0" w:after="0"/>
              <w:jc w:val="right"/>
              <w:rPr>
                <w:color w:val="000000"/>
                <w:sz w:val="20"/>
              </w:rPr>
            </w:pPr>
            <w:r>
              <w:rPr>
                <w:color w:val="000000"/>
                <w:sz w:val="20"/>
              </w:rPr>
              <w:t>836</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Future minimum lease payments under operating lease agreements as of December 31, 2025, are as follows:</w:t>
      </w:r>
    </w:p>
    <w:p>
      <w:pPr>
        <w:pStyle w:val="TextBody"/>
        <w:bidi w:val="0"/>
        <w:spacing w:before="0" w:after="0"/>
        <w:jc w:val="both"/>
        <w:rPr>
          <w:color w:val="000000"/>
          <w:sz w:val="20"/>
        </w:rPr>
      </w:pPr>
      <w:r>
        <w:rPr>
          <w:color w:val="000000"/>
          <w:sz w:val="20"/>
        </w:rPr>
      </w:r>
    </w:p>
    <w:p>
      <w:pPr>
        <w:pStyle w:val="Normal"/>
        <w:bidi w:val="0"/>
        <w:spacing w:before="0" w:after="0"/>
        <w:jc w:val="left"/>
        <w:rPr>
          <w:sz w:val="4"/>
          <w:szCs w:val="4"/>
        </w:rPr>
      </w:pPr>
      <w:r>
        <w:rPr>
          <w:sz w:val="4"/>
          <w:szCs w:val="4"/>
        </w:rPr>
      </w:r>
      <w:bookmarkStart w:id="80" w:name="z463b5dcf15c8417f9f8ba9173da89eeb"/>
      <w:bookmarkStart w:id="81" w:name="z463b5dcf15c8417f9f8ba9173da89eeb"/>
      <w:bookmarkEnd w:id="81"/>
    </w:p>
    <w:tbl>
      <w:tblPr>
        <w:tblW w:w="4180" w:type="dxa"/>
        <w:jc w:val="left"/>
        <w:tblInd w:w="0" w:type="dxa"/>
        <w:tblLayout w:type="fixed"/>
        <w:tblCellMar>
          <w:top w:w="0" w:type="dxa"/>
          <w:left w:w="0" w:type="dxa"/>
          <w:bottom w:w="0" w:type="dxa"/>
          <w:right w:w="0" w:type="dxa"/>
        </w:tblCellMar>
      </w:tblPr>
      <w:tblGrid>
        <w:gridCol w:w="2555"/>
        <w:gridCol w:w="60"/>
        <w:gridCol w:w="308"/>
        <w:gridCol w:w="1197"/>
        <w:gridCol w:w="60"/>
      </w:tblGrid>
      <w:tr>
        <w:trPr/>
        <w:tc>
          <w:tcPr>
            <w:tcW w:w="2555" w:type="dxa"/>
            <w:tcBorders/>
            <w:vAlign w:val="bottom"/>
          </w:tcPr>
          <w:p>
            <w:pPr>
              <w:pStyle w:val="TableContents"/>
              <w:bidi w:val="0"/>
              <w:spacing w:before="0" w:after="0"/>
              <w:jc w:val="left"/>
              <w:rPr>
                <w:b/>
                <w:color w:val="000000"/>
                <w:sz w:val="20"/>
              </w:rPr>
            </w:pPr>
            <w:r>
              <w:rPr>
                <w:b/>
                <w:color w:val="000000"/>
                <w:sz w:val="20"/>
              </w:rPr>
              <w:t>Year Ending December 31,</w:t>
            </w:r>
          </w:p>
        </w:tc>
        <w:tc>
          <w:tcPr>
            <w:tcW w:w="60" w:type="dxa"/>
            <w:tcBorders/>
            <w:vAlign w:val="bottom"/>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Operating Leases</w:t>
            </w:r>
          </w:p>
        </w:tc>
        <w:tc>
          <w:tcPr>
            <w:tcW w:w="60"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jc w:val="left"/>
              <w:rPr>
                <w:color w:val="000000"/>
                <w:sz w:val="20"/>
              </w:rPr>
            </w:pPr>
            <w:r>
              <w:rPr>
                <w:color w:val="000000"/>
                <w:sz w:val="20"/>
              </w:rPr>
              <w:t>2026</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0"/>
              <w:jc w:val="left"/>
              <w:rPr>
                <w:color w:val="000000"/>
                <w:sz w:val="20"/>
              </w:rPr>
            </w:pPr>
            <w:r>
              <w:rPr>
                <w:color w:val="000000"/>
                <w:sz w:val="20"/>
              </w:rPr>
              <w:t>$</w:t>
            </w:r>
          </w:p>
        </w:tc>
        <w:tc>
          <w:tcPr>
            <w:tcW w:w="1197" w:type="dxa"/>
            <w:tcBorders/>
            <w:shd w:fill="CCEEFF" w:val="clear"/>
            <w:vAlign w:val="bottom"/>
          </w:tcPr>
          <w:p>
            <w:pPr>
              <w:pStyle w:val="TableContents"/>
              <w:bidi w:val="0"/>
              <w:spacing w:before="0" w:after="0"/>
              <w:jc w:val="right"/>
              <w:rPr>
                <w:color w:val="000000"/>
                <w:sz w:val="20"/>
              </w:rPr>
            </w:pPr>
            <w:r>
              <w:rPr>
                <w:color w:val="000000"/>
                <w:sz w:val="20"/>
              </w:rPr>
              <w:t>670</w:t>
            </w:r>
          </w:p>
        </w:tc>
        <w:tc>
          <w:tcPr>
            <w:tcW w:w="60"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jc w:val="left"/>
              <w:rPr>
                <w:color w:val="000000"/>
                <w:sz w:val="20"/>
              </w:rPr>
            </w:pPr>
            <w:r>
              <w:rPr>
                <w:color w:val="000000"/>
                <w:sz w:val="20"/>
              </w:rPr>
              <w:t>2027</w:t>
            </w:r>
          </w:p>
        </w:tc>
        <w:tc>
          <w:tcPr>
            <w:tcW w:w="60" w:type="dxa"/>
            <w:tcBorders/>
            <w:vAlign w:val="bottom"/>
          </w:tcPr>
          <w:p>
            <w:pPr>
              <w:pStyle w:val="TableContents"/>
              <w:bidi w:val="0"/>
              <w:spacing w:before="0" w:after="283"/>
              <w:jc w:val="right"/>
              <w:rPr/>
            </w:pPr>
            <w:r>
              <w:rPr/>
              <w:t> </w:t>
            </w:r>
          </w:p>
        </w:tc>
        <w:tc>
          <w:tcPr>
            <w:tcW w:w="30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0"/>
              <w:jc w:val="right"/>
              <w:rPr>
                <w:color w:val="000000"/>
                <w:sz w:val="20"/>
              </w:rPr>
            </w:pPr>
            <w:r>
              <w:rPr>
                <w:color w:val="000000"/>
                <w:sz w:val="20"/>
              </w:rPr>
              <w:t>668</w:t>
            </w:r>
          </w:p>
        </w:tc>
        <w:tc>
          <w:tcPr>
            <w:tcW w:w="60"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jc w:val="left"/>
              <w:rPr>
                <w:color w:val="000000"/>
                <w:sz w:val="20"/>
              </w:rPr>
            </w:pPr>
            <w:r>
              <w:rPr>
                <w:color w:val="000000"/>
                <w:sz w:val="20"/>
              </w:rPr>
              <w:t>2028</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0"/>
              <w:jc w:val="right"/>
              <w:rPr>
                <w:color w:val="000000"/>
                <w:sz w:val="20"/>
              </w:rPr>
            </w:pPr>
            <w:r>
              <w:rPr>
                <w:color w:val="000000"/>
                <w:sz w:val="20"/>
              </w:rPr>
              <w:t>533</w:t>
            </w:r>
          </w:p>
        </w:tc>
        <w:tc>
          <w:tcPr>
            <w:tcW w:w="60"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jc w:val="left"/>
              <w:rPr>
                <w:color w:val="000000"/>
                <w:sz w:val="20"/>
              </w:rPr>
            </w:pPr>
            <w:r>
              <w:rPr>
                <w:color w:val="000000"/>
                <w:sz w:val="20"/>
              </w:rPr>
              <w:t>2029</w:t>
            </w:r>
          </w:p>
        </w:tc>
        <w:tc>
          <w:tcPr>
            <w:tcW w:w="60" w:type="dxa"/>
            <w:tcBorders/>
            <w:vAlign w:val="bottom"/>
          </w:tcPr>
          <w:p>
            <w:pPr>
              <w:pStyle w:val="TableContents"/>
              <w:bidi w:val="0"/>
              <w:spacing w:before="0" w:after="283"/>
              <w:jc w:val="right"/>
              <w:rPr/>
            </w:pPr>
            <w:r>
              <w:rPr/>
              <w:t> </w:t>
            </w:r>
          </w:p>
        </w:tc>
        <w:tc>
          <w:tcPr>
            <w:tcW w:w="30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0"/>
              <w:jc w:val="right"/>
              <w:rPr>
                <w:color w:val="000000"/>
                <w:sz w:val="20"/>
              </w:rPr>
            </w:pPr>
            <w:r>
              <w:rPr>
                <w:color w:val="000000"/>
                <w:sz w:val="20"/>
              </w:rPr>
              <w:t>190</w:t>
            </w:r>
          </w:p>
        </w:tc>
        <w:tc>
          <w:tcPr>
            <w:tcW w:w="60"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jc w:val="left"/>
              <w:rPr>
                <w:color w:val="000000"/>
                <w:sz w:val="20"/>
              </w:rPr>
            </w:pPr>
            <w:r>
              <w:rPr>
                <w:color w:val="000000"/>
                <w:sz w:val="20"/>
              </w:rPr>
              <w:t>2030</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0"/>
              <w:jc w:val="right"/>
              <w:rPr>
                <w:color w:val="000000"/>
                <w:sz w:val="20"/>
              </w:rPr>
            </w:pPr>
            <w:r>
              <w:rPr>
                <w:color w:val="000000"/>
                <w:sz w:val="20"/>
              </w:rPr>
              <w:t>190</w:t>
            </w:r>
          </w:p>
        </w:tc>
        <w:tc>
          <w:tcPr>
            <w:tcW w:w="60"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jc w:val="left"/>
              <w:rPr>
                <w:color w:val="000000"/>
                <w:sz w:val="20"/>
              </w:rPr>
            </w:pPr>
            <w:r>
              <w:rPr>
                <w:color w:val="000000"/>
                <w:sz w:val="20"/>
              </w:rPr>
              <w:t>Thereafter</w:t>
            </w:r>
          </w:p>
        </w:tc>
        <w:tc>
          <w:tcPr>
            <w:tcW w:w="60" w:type="dxa"/>
            <w:tcBorders/>
            <w:vAlign w:val="bottom"/>
          </w:tcPr>
          <w:p>
            <w:pPr>
              <w:pStyle w:val="TableContents"/>
              <w:bidi w:val="0"/>
              <w:spacing w:before="0" w:after="283"/>
              <w:jc w:val="right"/>
              <w:rPr/>
            </w:pPr>
            <w:r>
              <w:rPr/>
              <w:t> </w:t>
            </w:r>
          </w:p>
        </w:tc>
        <w:tc>
          <w:tcPr>
            <w:tcW w:w="30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7"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1,153</w:t>
            </w:r>
          </w:p>
        </w:tc>
        <w:tc>
          <w:tcPr>
            <w:tcW w:w="60"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jc w:val="left"/>
              <w:rPr>
                <w:color w:val="000000"/>
                <w:sz w:val="20"/>
              </w:rPr>
            </w:pPr>
            <w:r>
              <w:rPr>
                <w:color w:val="000000"/>
                <w:sz w:val="20"/>
              </w:rPr>
              <w:t>Total minimum lease payments</w:t>
            </w:r>
          </w:p>
        </w:tc>
        <w:tc>
          <w:tcPr>
            <w:tcW w:w="60" w:type="dxa"/>
            <w:tcBorders/>
            <w:shd w:fill="CCEEFF" w:val="clear"/>
            <w:vAlign w:val="bottom"/>
          </w:tcPr>
          <w:p>
            <w:pPr>
              <w:pStyle w:val="TableContents"/>
              <w:bidi w:val="0"/>
              <w:spacing w:before="0" w:after="283"/>
              <w:jc w:val="right"/>
              <w:rPr/>
            </w:pPr>
            <w:r>
              <w:rPr/>
              <w:t> </w:t>
            </w:r>
          </w:p>
        </w:tc>
        <w:tc>
          <w:tcPr>
            <w:tcW w:w="30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97" w:type="dxa"/>
            <w:tcBorders>
              <w:bottom w:val="double" w:sz="8"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3,404</w:t>
            </w:r>
          </w:p>
        </w:tc>
        <w:tc>
          <w:tcPr>
            <w:tcW w:w="60"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jc w:val="left"/>
              <w:rPr>
                <w:color w:val="000000"/>
                <w:sz w:val="20"/>
              </w:rPr>
            </w:pPr>
            <w:r>
              <w:rPr>
                <w:color w:val="000000"/>
                <w:sz w:val="20"/>
              </w:rPr>
              <w:t>Less: imputed interest</w:t>
            </w:r>
          </w:p>
        </w:tc>
        <w:tc>
          <w:tcPr>
            <w:tcW w:w="60" w:type="dxa"/>
            <w:tcBorders/>
            <w:vAlign w:val="bottom"/>
          </w:tcPr>
          <w:p>
            <w:pPr>
              <w:pStyle w:val="TableContents"/>
              <w:bidi w:val="0"/>
              <w:spacing w:before="0" w:after="283"/>
              <w:jc w:val="right"/>
              <w:rPr/>
            </w:pPr>
            <w:r>
              <w:rPr/>
              <w:t> </w:t>
            </w:r>
          </w:p>
        </w:tc>
        <w:tc>
          <w:tcPr>
            <w:tcW w:w="30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7"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920</w:t>
            </w:r>
          </w:p>
        </w:tc>
        <w:tc>
          <w:tcPr>
            <w:tcW w:w="60"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180" w:right="0" w:hanging="0"/>
              <w:jc w:val="left"/>
              <w:rPr>
                <w:color w:val="000000"/>
                <w:sz w:val="20"/>
              </w:rPr>
            </w:pPr>
            <w:r>
              <w:rPr>
                <w:color w:val="000000"/>
                <w:sz w:val="20"/>
              </w:rPr>
              <w:t>Total lease liability</w:t>
            </w:r>
          </w:p>
        </w:tc>
        <w:tc>
          <w:tcPr>
            <w:tcW w:w="60" w:type="dxa"/>
            <w:tcBorders/>
            <w:shd w:fill="CCEEFF" w:val="clear"/>
            <w:vAlign w:val="bottom"/>
          </w:tcPr>
          <w:p>
            <w:pPr>
              <w:pStyle w:val="TableContents"/>
              <w:bidi w:val="0"/>
              <w:spacing w:before="0" w:after="283"/>
              <w:jc w:val="right"/>
              <w:rPr/>
            </w:pPr>
            <w:r>
              <w:rPr/>
              <w:t> </w:t>
            </w:r>
          </w:p>
        </w:tc>
        <w:tc>
          <w:tcPr>
            <w:tcW w:w="308" w:type="dxa"/>
            <w:tcBorders>
              <w:bottom w:val="double" w:sz="8" w:space="0" w:color="000000"/>
            </w:tcBorders>
            <w:shd w:fill="CCEEFF" w:val="clear"/>
            <w:tcMar>
              <w:bottom w:w="28" w:type="dxa"/>
            </w:tcMar>
            <w:vAlign w:val="bottom"/>
          </w:tcPr>
          <w:p>
            <w:pPr>
              <w:pStyle w:val="TableContents"/>
              <w:bidi w:val="0"/>
              <w:spacing w:before="0" w:after="0"/>
              <w:jc w:val="left"/>
              <w:rPr>
                <w:color w:val="000000"/>
                <w:sz w:val="20"/>
              </w:rPr>
            </w:pPr>
            <w:r>
              <w:rPr>
                <w:color w:val="000000"/>
                <w:sz w:val="20"/>
              </w:rPr>
              <w:t>$</w:t>
            </w:r>
          </w:p>
        </w:tc>
        <w:tc>
          <w:tcPr>
            <w:tcW w:w="1197" w:type="dxa"/>
            <w:tcBorders>
              <w:bottom w:val="double" w:sz="8"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2,484</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bookmarkStart w:id="82" w:name="ny20040458x2_s4a_204-finnotes01_pg14"/>
      <w:bookmarkStart w:id="83" w:name="ny20040458x2_s4a_204-finnotes01_pg13"/>
      <w:bookmarkEnd w:id="82"/>
      <w:bookmarkEnd w:id="83"/>
      <w:r>
        <w:rPr>
          <w:rFonts w:ascii="Times New Roman" w:hAnsi="Times New Roman"/>
          <w:b/>
          <w:color w:val="000000"/>
          <w:sz w:val="20"/>
        </w:rPr>
        <w:t>Cullgen Inc.</w:t>
      </w:r>
    </w:p>
    <w:p>
      <w:pPr>
        <w:pStyle w:val="TextBody"/>
        <w:bidi w:val="0"/>
        <w:spacing w:before="0" w:after="0"/>
        <w:jc w:val="left"/>
        <w:rPr>
          <w:b w:val="false"/>
          <w:color w:val="000000"/>
          <w:sz w:val="20"/>
        </w:rPr>
      </w:pPr>
      <w:r>
        <w:rPr>
          <w:b w:val="false"/>
          <w:color w:val="000000"/>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 Redeemable Convertible Preferred Stock, Warrant Liabilities, Common Stock, and Stockholders’ Deficit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had authority to issue 201,150,624 shares of stock as of December 31, 2025, consisting of 143,329,269 shares of Common Stock, $0.0001 par value, as of December 31, 2025; and 57,821,355 shares of Preferred Stock, $0.0001 par value, as of December 31, 2025.</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Redeemable Convertible Preferred Stock</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April 2023, the Company sold and issued 13,329,269 shares of Series C redeemable convertible preferred stock at $2.63 per share, resulting in net proceeds of $34,321, including 2,285,018 shares issued to GNI USA, Inc., an entity controlled by GNI Group Ltd., the Company’s ultimate parent company.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redeemable convertible preferred stock is divided into series.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December 31, 2025, the Company’s redeemable convertible preferred stock consisted of the following:</w:t>
      </w:r>
    </w:p>
    <w:p>
      <w:pPr>
        <w:pStyle w:val="TextBody"/>
        <w:bidi w:val="0"/>
        <w:spacing w:before="0" w:after="0"/>
        <w:jc w:val="both"/>
        <w:rPr>
          <w:color w:val="000000"/>
          <w:sz w:val="20"/>
        </w:rPr>
      </w:pPr>
      <w:r>
        <w:rPr>
          <w:color w:val="000000"/>
          <w:sz w:val="20"/>
        </w:rPr>
      </w:r>
    </w:p>
    <w:p>
      <w:pPr>
        <w:pStyle w:val="Normal"/>
        <w:bidi w:val="0"/>
        <w:spacing w:before="0" w:after="0"/>
        <w:jc w:val="left"/>
        <w:rPr>
          <w:sz w:val="4"/>
          <w:szCs w:val="4"/>
        </w:rPr>
      </w:pPr>
      <w:r>
        <w:rPr>
          <w:sz w:val="4"/>
          <w:szCs w:val="4"/>
        </w:rPr>
      </w:r>
      <w:bookmarkStart w:id="84" w:name="zf6b37ae86f034543ab0b99adcf5fe835"/>
      <w:bookmarkStart w:id="85" w:name="zf6b37ae86f034543ab0b99adcf5fe835"/>
      <w:bookmarkEnd w:id="85"/>
    </w:p>
    <w:tbl>
      <w:tblPr>
        <w:tblW w:w="7868" w:type="dxa"/>
        <w:jc w:val="left"/>
        <w:tblInd w:w="0" w:type="dxa"/>
        <w:tblLayout w:type="fixed"/>
        <w:tblCellMar>
          <w:top w:w="0" w:type="dxa"/>
          <w:left w:w="0" w:type="dxa"/>
          <w:bottom w:w="0" w:type="dxa"/>
          <w:right w:w="0" w:type="dxa"/>
        </w:tblCellMar>
      </w:tblPr>
      <w:tblGrid>
        <w:gridCol w:w="1205"/>
        <w:gridCol w:w="60"/>
        <w:gridCol w:w="60"/>
        <w:gridCol w:w="950"/>
        <w:gridCol w:w="60"/>
        <w:gridCol w:w="60"/>
        <w:gridCol w:w="68"/>
        <w:gridCol w:w="1091"/>
        <w:gridCol w:w="60"/>
        <w:gridCol w:w="60"/>
        <w:gridCol w:w="230"/>
        <w:gridCol w:w="704"/>
        <w:gridCol w:w="60"/>
        <w:gridCol w:w="60"/>
        <w:gridCol w:w="246"/>
        <w:gridCol w:w="749"/>
        <w:gridCol w:w="60"/>
        <w:gridCol w:w="60"/>
        <w:gridCol w:w="125"/>
        <w:gridCol w:w="695"/>
        <w:gridCol w:w="60"/>
        <w:gridCol w:w="60"/>
        <w:gridCol w:w="215"/>
        <w:gridCol w:w="810"/>
        <w:gridCol w:w="60"/>
      </w:tblGrid>
      <w:tr>
        <w:trPr/>
        <w:tc>
          <w:tcPr>
            <w:tcW w:w="1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43" w:type="dxa"/>
            <w:gridSpan w:val="2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December 31, 2025</w:t>
            </w:r>
          </w:p>
        </w:tc>
        <w:tc>
          <w:tcPr>
            <w:tcW w:w="60"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Shares</w:t>
            </w:r>
          </w:p>
          <w:p>
            <w:pPr>
              <w:pStyle w:val="TableContents"/>
              <w:bidi w:val="0"/>
              <w:spacing w:before="0" w:after="0"/>
              <w:jc w:val="center"/>
              <w:rPr>
                <w:b/>
                <w:color w:val="000000"/>
                <w:sz w:val="20"/>
              </w:rPr>
            </w:pPr>
            <w:r>
              <w:rPr>
                <w:b/>
                <w:color w:val="000000"/>
                <w:sz w:val="20"/>
              </w:rPr>
              <w:t>Authorized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Shares Issued</w:t>
            </w:r>
          </w:p>
          <w:p>
            <w:pPr>
              <w:pStyle w:val="TableContents"/>
              <w:bidi w:val="0"/>
              <w:spacing w:before="0" w:after="0"/>
              <w:jc w:val="center"/>
              <w:rPr>
                <w:b/>
                <w:color w:val="000000"/>
                <w:sz w:val="20"/>
              </w:rPr>
            </w:pPr>
            <w:r>
              <w:rPr>
                <w:b/>
                <w:color w:val="000000"/>
                <w:sz w:val="20"/>
              </w:rPr>
              <w:t>and</w:t>
            </w:r>
          </w:p>
          <w:p>
            <w:pPr>
              <w:pStyle w:val="TableContents"/>
              <w:bidi w:val="0"/>
              <w:spacing w:before="0" w:after="0"/>
              <w:jc w:val="center"/>
              <w:rPr>
                <w:b/>
                <w:color w:val="000000"/>
                <w:sz w:val="20"/>
              </w:rPr>
            </w:pPr>
            <w:r>
              <w:rPr>
                <w:b/>
                <w:color w:val="000000"/>
                <w:sz w:val="20"/>
              </w:rPr>
              <w:t>Outstanding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Issue Price</w:t>
            </w:r>
          </w:p>
          <w:p>
            <w:pPr>
              <w:pStyle w:val="TableContents"/>
              <w:bidi w:val="0"/>
              <w:spacing w:before="0" w:after="0"/>
              <w:jc w:val="center"/>
              <w:rPr>
                <w:b/>
                <w:color w:val="000000"/>
                <w:sz w:val="20"/>
              </w:rPr>
            </w:pPr>
            <w:r>
              <w:rPr>
                <w:b/>
                <w:color w:val="000000"/>
                <w:sz w:val="20"/>
              </w:rPr>
              <w:t>Per Share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Conversion</w:t>
            </w:r>
          </w:p>
          <w:p>
            <w:pPr>
              <w:pStyle w:val="TableContents"/>
              <w:bidi w:val="0"/>
              <w:spacing w:before="0" w:after="0"/>
              <w:jc w:val="center"/>
              <w:rPr>
                <w:b/>
                <w:color w:val="000000"/>
                <w:sz w:val="20"/>
              </w:rPr>
            </w:pPr>
            <w:r>
              <w:rPr>
                <w:b/>
                <w:color w:val="000000"/>
                <w:sz w:val="20"/>
              </w:rPr>
              <w:t>Price Per</w:t>
            </w:r>
          </w:p>
          <w:p>
            <w:pPr>
              <w:pStyle w:val="TableContents"/>
              <w:bidi w:val="0"/>
              <w:spacing w:before="0" w:after="0"/>
              <w:jc w:val="center"/>
              <w:rPr>
                <w:b/>
                <w:color w:val="000000"/>
                <w:sz w:val="20"/>
              </w:rPr>
            </w:pPr>
            <w:r>
              <w:rPr>
                <w:b/>
                <w:color w:val="000000"/>
                <w:sz w:val="20"/>
              </w:rPr>
              <w:t>Share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Net</w:t>
            </w:r>
          </w:p>
          <w:p>
            <w:pPr>
              <w:pStyle w:val="TableContents"/>
              <w:bidi w:val="0"/>
              <w:spacing w:before="0" w:after="0"/>
              <w:jc w:val="center"/>
              <w:rPr>
                <w:b/>
                <w:color w:val="000000"/>
                <w:sz w:val="20"/>
              </w:rPr>
            </w:pPr>
            <w:r>
              <w:rPr>
                <w:b/>
                <w:color w:val="000000"/>
                <w:sz w:val="20"/>
              </w:rPr>
              <w:t>Carrying</w:t>
            </w:r>
          </w:p>
          <w:p>
            <w:pPr>
              <w:pStyle w:val="TableContents"/>
              <w:bidi w:val="0"/>
              <w:spacing w:before="0" w:after="0"/>
              <w:jc w:val="center"/>
              <w:rPr>
                <w:b/>
                <w:color w:val="000000"/>
                <w:sz w:val="20"/>
              </w:rPr>
            </w:pPr>
            <w:r>
              <w:rPr>
                <w:b/>
                <w:color w:val="000000"/>
                <w:sz w:val="20"/>
              </w:rPr>
              <w:t>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Aggregate</w:t>
            </w:r>
          </w:p>
          <w:p>
            <w:pPr>
              <w:pStyle w:val="TableContents"/>
              <w:bidi w:val="0"/>
              <w:spacing w:before="0" w:after="0"/>
              <w:jc w:val="center"/>
              <w:rPr>
                <w:b/>
                <w:color w:val="000000"/>
                <w:sz w:val="20"/>
              </w:rPr>
            </w:pPr>
            <w:r>
              <w:rPr>
                <w:b/>
                <w:color w:val="000000"/>
                <w:sz w:val="20"/>
              </w:rPr>
              <w:t>Liquidation</w:t>
            </w:r>
          </w:p>
          <w:p>
            <w:pPr>
              <w:pStyle w:val="TableContents"/>
              <w:bidi w:val="0"/>
              <w:spacing w:before="0" w:after="0"/>
              <w:jc w:val="center"/>
              <w:rPr>
                <w:b/>
                <w:color w:val="000000"/>
                <w:sz w:val="20"/>
              </w:rPr>
            </w:pPr>
            <w:r>
              <w:rPr>
                <w:b/>
                <w:color w:val="000000"/>
                <w:sz w:val="20"/>
              </w:rPr>
              <w:t>Preference</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jc w:val="left"/>
              <w:rPr>
                <w:color w:val="000000"/>
                <w:sz w:val="20"/>
              </w:rPr>
            </w:pPr>
            <w:r>
              <w:rPr>
                <w:color w:val="000000"/>
                <w:sz w:val="20"/>
              </w:rPr>
              <w:t>Series Seed-1*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color w:val="000000"/>
                <w:sz w:val="20"/>
              </w:rPr>
            </w:pPr>
            <w:r>
              <w:rPr>
                <w:color w:val="000000"/>
                <w:sz w:val="20"/>
              </w:rPr>
              <w:t>10,000,000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0"/>
              <w:jc w:val="right"/>
              <w:rPr>
                <w:color w:val="000000"/>
                <w:sz w:val="20"/>
              </w:rPr>
            </w:pPr>
            <w:r>
              <w:rPr>
                <w:color w:val="000000"/>
                <w:sz w:val="20"/>
              </w:rPr>
              <w:t>10,000,000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0"/>
              <w:jc w:val="left"/>
              <w:rPr>
                <w:color w:val="000000"/>
                <w:sz w:val="20"/>
              </w:rPr>
            </w:pPr>
            <w:r>
              <w:rPr>
                <w:color w:val="000000"/>
                <w:sz w:val="20"/>
              </w:rPr>
              <w:t>$</w:t>
            </w:r>
          </w:p>
        </w:tc>
        <w:tc>
          <w:tcPr>
            <w:tcW w:w="704" w:type="dxa"/>
            <w:tcBorders/>
            <w:shd w:fill="CCEEFF" w:val="clear"/>
            <w:vAlign w:val="bottom"/>
          </w:tcPr>
          <w:p>
            <w:pPr>
              <w:pStyle w:val="TableContents"/>
              <w:bidi w:val="0"/>
              <w:spacing w:before="0" w:after="0"/>
              <w:jc w:val="right"/>
              <w:rPr>
                <w:color w:val="000000"/>
                <w:sz w:val="20"/>
              </w:rPr>
            </w:pPr>
            <w:r>
              <w:rPr>
                <w:color w:val="000000"/>
                <w:sz w:val="20"/>
              </w:rPr>
              <w:t>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color w:val="000000"/>
                <w:sz w:val="20"/>
              </w:rPr>
            </w:pPr>
            <w:r>
              <w:rPr>
                <w:color w:val="000000"/>
                <w:sz w:val="20"/>
              </w:rPr>
              <w:t>$</w:t>
            </w:r>
          </w:p>
        </w:tc>
        <w:tc>
          <w:tcPr>
            <w:tcW w:w="749" w:type="dxa"/>
            <w:tcBorders/>
            <w:shd w:fill="CCEEFF" w:val="clear"/>
            <w:vAlign w:val="bottom"/>
          </w:tcPr>
          <w:p>
            <w:pPr>
              <w:pStyle w:val="TableContents"/>
              <w:bidi w:val="0"/>
              <w:spacing w:before="0" w:after="0"/>
              <w:jc w:val="right"/>
              <w:rPr>
                <w:color w:val="000000"/>
                <w:sz w:val="20"/>
              </w:rPr>
            </w:pPr>
            <w:r>
              <w:rPr>
                <w:color w:val="000000"/>
                <w:sz w:val="20"/>
              </w:rPr>
              <w:t>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color w:val="000000"/>
                <w:sz w:val="20"/>
              </w:rPr>
            </w:pPr>
            <w:r>
              <w:rPr>
                <w:color w:val="000000"/>
                <w:sz w:val="20"/>
              </w:rPr>
              <w:t>$</w:t>
            </w:r>
          </w:p>
        </w:tc>
        <w:tc>
          <w:tcPr>
            <w:tcW w:w="695" w:type="dxa"/>
            <w:tcBorders/>
            <w:shd w:fill="CCEEFF" w:val="clear"/>
            <w:vAlign w:val="bottom"/>
          </w:tcPr>
          <w:p>
            <w:pPr>
              <w:pStyle w:val="TableContents"/>
              <w:bidi w:val="0"/>
              <w:spacing w:before="0" w:after="0"/>
              <w:jc w:val="right"/>
              <w:rPr>
                <w:color w:val="000000"/>
                <w:sz w:val="20"/>
              </w:rPr>
            </w:pPr>
            <w:r>
              <w:rPr>
                <w:color w:val="000000"/>
                <w:sz w:val="20"/>
              </w:rPr>
              <w:t>8,560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0"/>
              <w:jc w:val="left"/>
              <w:rPr>
                <w:color w:val="000000"/>
                <w:sz w:val="20"/>
              </w:rPr>
            </w:pPr>
            <w:r>
              <w:rPr>
                <w:color w:val="000000"/>
                <w:sz w:val="20"/>
              </w:rPr>
              <w:t>$</w:t>
            </w:r>
          </w:p>
        </w:tc>
        <w:tc>
          <w:tcPr>
            <w:tcW w:w="810" w:type="dxa"/>
            <w:tcBorders/>
            <w:shd w:fill="CCEEFF" w:val="clear"/>
            <w:vAlign w:val="bottom"/>
          </w:tcPr>
          <w:p>
            <w:pPr>
              <w:pStyle w:val="TableContents"/>
              <w:bidi w:val="0"/>
              <w:spacing w:before="0" w:after="0"/>
              <w:jc w:val="right"/>
              <w:rPr>
                <w:color w:val="000000"/>
                <w:sz w:val="20"/>
              </w:rPr>
            </w:pPr>
            <w:r>
              <w:rPr>
                <w:color w:val="000000"/>
                <w:sz w:val="20"/>
              </w:rPr>
              <w:t>10,000</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jc w:val="left"/>
              <w:rPr>
                <w:color w:val="000000"/>
                <w:sz w:val="20"/>
              </w:rPr>
            </w:pPr>
            <w:r>
              <w:rPr>
                <w:color w:val="000000"/>
                <w:sz w:val="20"/>
              </w:rPr>
              <w:t>Series Seed-2*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sz w:val="20"/>
              </w:rPr>
            </w:pPr>
            <w:r>
              <w:rPr>
                <w:color w:val="000000"/>
                <w:sz w:val="20"/>
              </w:rPr>
              <w:t>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color w:val="000000"/>
                <w:sz w:val="20"/>
              </w:rPr>
            </w:pPr>
            <w:r>
              <w:rPr>
                <w:color w:val="000000"/>
                <w:sz w:val="20"/>
              </w:rPr>
              <w:t>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0"/>
              <w:jc w:val="left"/>
              <w:rPr>
                <w:color w:val="000000"/>
                <w:sz w:val="20"/>
              </w:rPr>
            </w:pPr>
            <w:r>
              <w:rPr>
                <w:color w:val="000000"/>
                <w:sz w:val="20"/>
              </w:rPr>
              <w:t>$</w:t>
            </w:r>
          </w:p>
        </w:tc>
        <w:tc>
          <w:tcPr>
            <w:tcW w:w="704" w:type="dxa"/>
            <w:tcBorders/>
            <w:vAlign w:val="bottom"/>
          </w:tcPr>
          <w:p>
            <w:pPr>
              <w:pStyle w:val="TableContents"/>
              <w:bidi w:val="0"/>
              <w:spacing w:before="0" w:after="0"/>
              <w:jc w:val="right"/>
              <w:rPr>
                <w:color w:val="000000"/>
                <w:sz w:val="20"/>
              </w:rPr>
            </w:pPr>
            <w:r>
              <w:rPr>
                <w:color w:val="000000"/>
                <w:sz w:val="20"/>
              </w:rPr>
              <w:t>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0"/>
              <w:jc w:val="left"/>
              <w:rPr>
                <w:color w:val="000000"/>
                <w:sz w:val="20"/>
              </w:rPr>
            </w:pPr>
            <w:r>
              <w:rPr>
                <w:color w:val="000000"/>
                <w:sz w:val="20"/>
              </w:rPr>
              <w:t>$</w:t>
            </w:r>
          </w:p>
        </w:tc>
        <w:tc>
          <w:tcPr>
            <w:tcW w:w="749" w:type="dxa"/>
            <w:tcBorders/>
            <w:vAlign w:val="bottom"/>
          </w:tcPr>
          <w:p>
            <w:pPr>
              <w:pStyle w:val="TableContents"/>
              <w:bidi w:val="0"/>
              <w:spacing w:before="0" w:after="0"/>
              <w:jc w:val="right"/>
              <w:rPr>
                <w:color w:val="000000"/>
                <w:sz w:val="20"/>
              </w:rPr>
            </w:pPr>
            <w:r>
              <w:rPr>
                <w:color w:val="000000"/>
                <w:sz w:val="20"/>
              </w:rPr>
              <w:t>0.80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sz w:val="20"/>
              </w:rPr>
            </w:pPr>
            <w:r>
              <w:rPr>
                <w:color w:val="000000"/>
                <w:sz w:val="20"/>
              </w:rPr>
              <w:t>8,637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right"/>
              <w:rPr>
                <w:color w:val="000000"/>
                <w:sz w:val="20"/>
              </w:rPr>
            </w:pPr>
            <w:r>
              <w:rPr>
                <w:color w:val="000000"/>
                <w:sz w:val="20"/>
              </w:rPr>
              <w:t>5,000</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jc w:val="left"/>
              <w:rPr>
                <w:color w:val="000000"/>
                <w:sz w:val="20"/>
              </w:rPr>
            </w:pPr>
            <w:r>
              <w:rPr>
                <w:color w:val="000000"/>
                <w:sz w:val="20"/>
              </w:rPr>
              <w:t>Series 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color w:val="000000"/>
                <w:sz w:val="20"/>
              </w:rPr>
            </w:pPr>
            <w:r>
              <w:rPr>
                <w:color w:val="000000"/>
                <w:sz w:val="20"/>
              </w:rPr>
              <w:t>9,411,765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0"/>
              <w:jc w:val="right"/>
              <w:rPr>
                <w:color w:val="000000"/>
                <w:sz w:val="20"/>
              </w:rPr>
            </w:pPr>
            <w:r>
              <w:rPr>
                <w:color w:val="000000"/>
                <w:sz w:val="20"/>
              </w:rPr>
              <w:t>9,411,765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0"/>
              <w:jc w:val="left"/>
              <w:rPr>
                <w:color w:val="000000"/>
                <w:sz w:val="20"/>
              </w:rPr>
            </w:pPr>
            <w:r>
              <w:rPr>
                <w:color w:val="000000"/>
                <w:sz w:val="20"/>
              </w:rPr>
              <w:t>$</w:t>
            </w:r>
          </w:p>
        </w:tc>
        <w:tc>
          <w:tcPr>
            <w:tcW w:w="704" w:type="dxa"/>
            <w:tcBorders/>
            <w:shd w:fill="CCEEFF" w:val="clear"/>
            <w:vAlign w:val="bottom"/>
          </w:tcPr>
          <w:p>
            <w:pPr>
              <w:pStyle w:val="TableContents"/>
              <w:bidi w:val="0"/>
              <w:spacing w:before="0" w:after="0"/>
              <w:jc w:val="right"/>
              <w:rPr>
                <w:color w:val="000000"/>
                <w:sz w:val="20"/>
              </w:rPr>
            </w:pPr>
            <w:r>
              <w:rPr>
                <w:color w:val="000000"/>
                <w:sz w:val="20"/>
              </w:rPr>
              <w:t>1.70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color w:val="000000"/>
                <w:sz w:val="20"/>
              </w:rPr>
            </w:pPr>
            <w:r>
              <w:rPr>
                <w:color w:val="000000"/>
                <w:sz w:val="20"/>
              </w:rPr>
              <w:t>$</w:t>
            </w:r>
          </w:p>
        </w:tc>
        <w:tc>
          <w:tcPr>
            <w:tcW w:w="749" w:type="dxa"/>
            <w:tcBorders/>
            <w:shd w:fill="CCEEFF" w:val="clear"/>
            <w:vAlign w:val="bottom"/>
          </w:tcPr>
          <w:p>
            <w:pPr>
              <w:pStyle w:val="TableContents"/>
              <w:bidi w:val="0"/>
              <w:spacing w:before="0" w:after="0"/>
              <w:jc w:val="right"/>
              <w:rPr>
                <w:color w:val="000000"/>
                <w:sz w:val="20"/>
              </w:rPr>
            </w:pPr>
            <w:r>
              <w:rPr>
                <w:color w:val="000000"/>
                <w:sz w:val="20"/>
              </w:rPr>
              <w:t>1.70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sz w:val="20"/>
              </w:rPr>
            </w:pPr>
            <w:r>
              <w:rPr>
                <w:color w:val="000000"/>
                <w:sz w:val="20"/>
              </w:rPr>
              <w:t>30,606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color w:val="000000"/>
                <w:sz w:val="20"/>
              </w:rPr>
            </w:pPr>
            <w:r>
              <w:rPr>
                <w:color w:val="000000"/>
                <w:sz w:val="20"/>
              </w:rPr>
              <w:t>16,000</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jc w:val="left"/>
              <w:rPr>
                <w:color w:val="000000"/>
                <w:sz w:val="20"/>
              </w:rPr>
            </w:pPr>
            <w:r>
              <w:rPr>
                <w:color w:val="000000"/>
                <w:sz w:val="20"/>
              </w:rPr>
              <w:t>Series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sz w:val="20"/>
              </w:rPr>
            </w:pPr>
            <w:r>
              <w:rPr>
                <w:color w:val="000000"/>
                <w:sz w:val="20"/>
              </w:rPr>
              <w:t>20,080,321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color w:val="000000"/>
                <w:sz w:val="20"/>
              </w:rPr>
            </w:pPr>
            <w:r>
              <w:rPr>
                <w:color w:val="000000"/>
                <w:sz w:val="20"/>
              </w:rPr>
              <w:t>20,080,321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0"/>
              <w:jc w:val="left"/>
              <w:rPr>
                <w:color w:val="000000"/>
                <w:sz w:val="20"/>
              </w:rPr>
            </w:pPr>
            <w:r>
              <w:rPr>
                <w:color w:val="000000"/>
                <w:sz w:val="20"/>
              </w:rPr>
              <w:t>$</w:t>
            </w:r>
          </w:p>
        </w:tc>
        <w:tc>
          <w:tcPr>
            <w:tcW w:w="704" w:type="dxa"/>
            <w:tcBorders/>
            <w:vAlign w:val="bottom"/>
          </w:tcPr>
          <w:p>
            <w:pPr>
              <w:pStyle w:val="TableContents"/>
              <w:bidi w:val="0"/>
              <w:spacing w:before="0" w:after="0"/>
              <w:jc w:val="right"/>
              <w:rPr>
                <w:color w:val="000000"/>
                <w:sz w:val="20"/>
              </w:rPr>
            </w:pPr>
            <w:r>
              <w:rPr>
                <w:color w:val="000000"/>
                <w:sz w:val="20"/>
              </w:rPr>
              <w:t>2.49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0"/>
              <w:jc w:val="left"/>
              <w:rPr>
                <w:color w:val="000000"/>
                <w:sz w:val="20"/>
              </w:rPr>
            </w:pPr>
            <w:r>
              <w:rPr>
                <w:color w:val="000000"/>
                <w:sz w:val="20"/>
              </w:rPr>
              <w:t>$</w:t>
            </w:r>
          </w:p>
        </w:tc>
        <w:tc>
          <w:tcPr>
            <w:tcW w:w="749" w:type="dxa"/>
            <w:tcBorders/>
            <w:vAlign w:val="bottom"/>
          </w:tcPr>
          <w:p>
            <w:pPr>
              <w:pStyle w:val="TableContents"/>
              <w:bidi w:val="0"/>
              <w:spacing w:before="0" w:after="0"/>
              <w:jc w:val="right"/>
              <w:rPr>
                <w:color w:val="000000"/>
                <w:sz w:val="20"/>
              </w:rPr>
            </w:pPr>
            <w:r>
              <w:rPr>
                <w:color w:val="000000"/>
                <w:sz w:val="20"/>
              </w:rPr>
              <w:t>2.49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sz w:val="20"/>
              </w:rPr>
            </w:pPr>
            <w:r>
              <w:rPr>
                <w:color w:val="000000"/>
                <w:sz w:val="20"/>
              </w:rPr>
              <w:t>80,790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right"/>
              <w:rPr>
                <w:color w:val="000000"/>
                <w:sz w:val="20"/>
              </w:rPr>
            </w:pPr>
            <w:r>
              <w:rPr>
                <w:color w:val="000000"/>
                <w:sz w:val="20"/>
              </w:rPr>
              <w:t>50,000</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jc w:val="left"/>
              <w:rPr>
                <w:color w:val="000000"/>
                <w:sz w:val="20"/>
              </w:rPr>
            </w:pPr>
            <w:r>
              <w:rPr>
                <w:color w:val="000000"/>
                <w:sz w:val="20"/>
              </w:rPr>
              <w:t>Series C*</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13,329,269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1"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13,329,269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0"/>
              <w:jc w:val="left"/>
              <w:rPr>
                <w:color w:val="000000"/>
                <w:sz w:val="20"/>
              </w:rPr>
            </w:pPr>
            <w:r>
              <w:rPr>
                <w:color w:val="000000"/>
                <w:sz w:val="20"/>
              </w:rPr>
              <w:t>$</w:t>
            </w:r>
          </w:p>
        </w:tc>
        <w:tc>
          <w:tcPr>
            <w:tcW w:w="704" w:type="dxa"/>
            <w:tcBorders/>
            <w:shd w:fill="CCEEFF" w:val="clear"/>
            <w:vAlign w:val="bottom"/>
          </w:tcPr>
          <w:p>
            <w:pPr>
              <w:pStyle w:val="TableContents"/>
              <w:bidi w:val="0"/>
              <w:spacing w:before="0" w:after="0"/>
              <w:jc w:val="right"/>
              <w:rPr>
                <w:color w:val="000000"/>
                <w:sz w:val="20"/>
              </w:rPr>
            </w:pPr>
            <w:r>
              <w:rPr>
                <w:color w:val="000000"/>
                <w:sz w:val="20"/>
              </w:rPr>
              <w:t>2.63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color w:val="000000"/>
                <w:sz w:val="20"/>
              </w:rPr>
            </w:pPr>
            <w:r>
              <w:rPr>
                <w:color w:val="000000"/>
                <w:sz w:val="20"/>
              </w:rPr>
              <w:t>$</w:t>
            </w:r>
          </w:p>
        </w:tc>
        <w:tc>
          <w:tcPr>
            <w:tcW w:w="749" w:type="dxa"/>
            <w:tcBorders/>
            <w:shd w:fill="CCEEFF" w:val="clear"/>
            <w:vAlign w:val="bottom"/>
          </w:tcPr>
          <w:p>
            <w:pPr>
              <w:pStyle w:val="TableContents"/>
              <w:bidi w:val="0"/>
              <w:spacing w:before="0" w:after="0"/>
              <w:jc w:val="right"/>
              <w:rPr>
                <w:color w:val="000000"/>
                <w:sz w:val="20"/>
              </w:rPr>
            </w:pPr>
            <w:r>
              <w:rPr>
                <w:color w:val="000000"/>
                <w:sz w:val="20"/>
              </w:rPr>
              <w:t>2.63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44,874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35,000</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jc w:val="left"/>
              <w:rPr>
                <w:color w:val="000000"/>
                <w:sz w:val="20"/>
              </w:rPr>
            </w:pPr>
            <w:r>
              <w:rPr>
                <w:color w:val="000000"/>
                <w:sz w:val="20"/>
              </w:rPr>
              <w:t>Total</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57,821,355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bottom w:val="double" w:sz="8" w:space="0" w:color="000000"/>
            </w:tcBorders>
            <w:tcMar>
              <w:bottom w:w="28" w:type="dxa"/>
            </w:tcMar>
            <w:vAlign w:val="bottom"/>
          </w:tcPr>
          <w:p>
            <w:pPr>
              <w:pStyle w:val="TableContents"/>
              <w:bidi w:val="0"/>
              <w:spacing w:before="0" w:after="283"/>
              <w:jc w:val="left"/>
              <w:rPr/>
            </w:pPr>
            <w:r>
              <w:rPr/>
              <w:t> </w:t>
            </w:r>
          </w:p>
        </w:tc>
        <w:tc>
          <w:tcPr>
            <w:tcW w:w="1091"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57,821,355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0"/>
              <w:jc w:val="left"/>
              <w:rPr>
                <w:color w:val="000000"/>
                <w:sz w:val="20"/>
              </w:rPr>
            </w:pPr>
            <w:r>
              <w:rPr>
                <w:color w:val="000000"/>
                <w:sz w:val="20"/>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0"/>
              <w:jc w:val="left"/>
              <w:rPr>
                <w:color w:val="000000"/>
                <w:sz w:val="20"/>
              </w:rPr>
            </w:pPr>
            <w:r>
              <w:rPr>
                <w:color w:val="000000"/>
                <w:sz w:val="20"/>
              </w:rPr>
            </w:r>
          </w:p>
        </w:tc>
        <w:tc>
          <w:tcPr>
            <w:tcW w:w="749" w:type="dxa"/>
            <w:tcBorders/>
            <w:vAlign w:val="bottom"/>
          </w:tcPr>
          <w:p>
            <w:pPr>
              <w:pStyle w:val="TableContents"/>
              <w:bidi w:val="0"/>
              <w:spacing w:before="0" w:after="283"/>
              <w:jc w:val="left"/>
              <w:rPr>
                <w:sz w:val="20"/>
              </w:rPr>
            </w:pPr>
            <w:r>
              <w:rPr>
                <w:sz w:val="20"/>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695"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173,467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bottom w:val="double" w:sz="8" w:space="0" w:color="000000"/>
            </w:tcBorders>
            <w:tcMar>
              <w:bottom w:w="28" w:type="dxa"/>
            </w:tcMar>
            <w:vAlign w:val="bottom"/>
          </w:tcPr>
          <w:p>
            <w:pPr>
              <w:pStyle w:val="TableContents"/>
              <w:bidi w:val="0"/>
              <w:spacing w:before="0" w:after="283"/>
              <w:jc w:val="left"/>
              <w:rPr/>
            </w:pPr>
            <w:r>
              <w:rPr/>
              <w:t> </w:t>
            </w:r>
            <w:r>
              <w:rPr>
                <w:sz w:val="20"/>
              </w:rPr>
              <w:t>$</w:t>
            </w:r>
          </w:p>
        </w:tc>
        <w:tc>
          <w:tcPr>
            <w:tcW w:w="810"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116,000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6" w:name="z7e4395393fe042f597659abd1726b727"/>
      <w:bookmarkStart w:id="87" w:name="z7e4395393fe042f597659abd1726b727"/>
      <w:bookmarkEnd w:id="87"/>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olor w:val="000000"/>
                <w:sz w:val="20"/>
              </w:rPr>
            </w:pPr>
            <w:r>
              <w:rPr>
                <w:color w:val="000000"/>
                <w:sz w:val="20"/>
              </w:rPr>
              <w:t>*</w:t>
            </w:r>
          </w:p>
        </w:tc>
        <w:tc>
          <w:tcPr>
            <w:tcW w:w="10065" w:type="dxa"/>
            <w:tcBorders/>
            <w:vAlign w:val="center"/>
          </w:tcPr>
          <w:p>
            <w:pPr>
              <w:pStyle w:val="TableContents"/>
              <w:bidi w:val="0"/>
              <w:spacing w:before="0" w:after="0"/>
              <w:jc w:val="left"/>
              <w:rPr>
                <w:color w:val="000000"/>
                <w:sz w:val="20"/>
              </w:rPr>
            </w:pPr>
            <w:r>
              <w:rPr>
                <w:color w:val="000000"/>
                <w:sz w:val="20"/>
              </w:rPr>
              <w:t>As of December 31, 2025, all of the shares of Series Seed-I and Series Seed-2, 4,016,064 shares of Series B, and 2,285,018 shares of Series C, were issued to GNI USA, Inc.; and 4,819,278 shares of Series B were issued to GNI Group Ltd.</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rights, preferences and privileges of the redeemable convertible preferred stock are as follows: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Conversion Rights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Each share of redeemable convertible preferred stock is convertible, at the option of the holder, at any time after the date of issuance of such share, into such number of fully paid and nonassessable shares of common stock as is determined by dividing the original issue price by the conversion price in effect at the time of conversion.</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b/>
          <w:color w:val="000000"/>
          <w:sz w:val="20"/>
        </w:rPr>
      </w:pPr>
      <w:r>
        <w:rPr>
          <w:b/>
          <w:color w:val="000000"/>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Each share of Series C redeemable convertible preferred stock will automatically convert into shares of common stock at the then-effective conversion price upon the consummation of a qualifying IPO or the vote or written consent of holders of at least 67% of the voting power of the Series C redeemable convertible preferred stock then outstanding. Each share of Series Seed-1, Series Seed-2, Series A and B redeemable convertible preferred stock will automatically convert into shares of common stock at the then-effective conversion price upon the consummation of a qualifying IPO or the vote or written consent of holders of at least a majority of the voting power of the redeemable convertible preferred stock then outstanding.</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Redemption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Following the fifth anniversary of December 6, 2022, the date on which a share of Series C Preferred is first issued, or upon the submission of any redemption request by the Series A or B Preferred stockholders, and in either cases elected by Series C Preferred lead investors, the Company will redeem all of the shares of the Series C Preferred then outstanding within 60 days, paying the original issue price plus any unpaid dividends and a 10% annual compounded, noncumulative return on the original issue price for each year such shares were outstanding.</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Following the fifth anniversary of April 8, 2019, the date on which a share of Series A redeemable convertible preferred stock is first issued, the holders of Series A and Series B redeemable convertible preferred stock can request the company to redeem their shares. A 67% majority of holders of Series B redeemable convertible preferred stock or a simple majority of holders of Series A redeemable convertible preferred stock can initiate such redemption. Upon such a redemption request, the Company is obligated to redeem all outstanding shares of the requested series within 60 days, paying the original issue price plus any unpaid dividends and a 10% annual compounded return for each year such shares were outstanding.</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recognizes the initial carrying amount of preferred stock at its fair value at date of issue, net of issuance costs. The Company uses interest method to accrete changes in the redemption value over the period from the date of issuance to the earliest redemption.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Voting</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Each holder of shares of redeemable convertible preferred stock are entitled to the number of votes equal to the number of shares of common stock into which shares held by such holder are convertible. Each holder of shares of Series Seed-1 redeemable convertible preferred stock shall be entitled to two votes per share of Series Seed-1 redeemable convertible preferred stock. However, if a share of Series Seed-1 redeemable convertible preferred stock is converted into common stock in accordance with the Company’s certificate of incorporation, such common stock shall be entitled to one vote per share.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Dividends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holders of shares of each series of redeemable convertible preferred stock shall be entitled to non-cumulative dividends, when and if declared by the Company’s board of directors.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annual dividend rate in order of preference of dividend payments is (i) 8% of the original issue price for each share of Series C redeemable convertible preferred stock, (ii) 8% of the original issue price for each share of Series B redeemable convertible preferred stock, (iii) $0.136 per annum for each share of Series A redeemable convertible preferred stock, and (iv) $0.08 per annum for each share of Series Seed-1, and Series Seed-2 redeemable convertible preferred stock. These dividend rates are subject to adjustment if the Company undertakes any stock splits, stock dividends, combinations, recapitalization, or similar events. To date, no dividends have been declared.</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b/>
          <w:sz w:val="20"/>
        </w:rPr>
      </w:pPr>
      <w:r>
        <w:rPr>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Liquidation Preference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“Liquidation Event” shall mean:</w:t>
      </w:r>
    </w:p>
    <w:p>
      <w:pPr>
        <w:pStyle w:val="TextBody"/>
        <w:bidi w:val="0"/>
        <w:spacing w:before="0" w:after="0"/>
        <w:jc w:val="left"/>
        <w:rPr>
          <w:color w:val="000000"/>
          <w:sz w:val="20"/>
        </w:rPr>
      </w:pPr>
      <w:r>
        <w:rPr>
          <w:color w:val="000000"/>
          <w:sz w:val="20"/>
        </w:rPr>
      </w:r>
    </w:p>
    <w:p>
      <w:pPr>
        <w:pStyle w:val="Normal"/>
        <w:bidi w:val="0"/>
        <w:spacing w:before="0" w:after="0"/>
        <w:jc w:val="left"/>
        <w:rPr>
          <w:sz w:val="4"/>
          <w:szCs w:val="4"/>
        </w:rPr>
      </w:pPr>
      <w:r>
        <w:rPr>
          <w:sz w:val="4"/>
          <w:szCs w:val="4"/>
        </w:rPr>
      </w:r>
      <w:bookmarkStart w:id="88" w:name="z0b63f43b6ddb438dbc579656fc1f2fb9"/>
      <w:bookmarkStart w:id="89" w:name="z0b63f43b6ddb438dbc579656fc1f2fb9"/>
      <w:bookmarkEnd w:id="89"/>
    </w:p>
    <w:tbl>
      <w:tblPr>
        <w:tblW w:w="4945" w:type="dxa"/>
        <w:jc w:val="left"/>
        <w:tblInd w:w="0" w:type="dxa"/>
        <w:tblLayout w:type="fixed"/>
        <w:tblCellMar>
          <w:top w:w="0" w:type="dxa"/>
          <w:left w:w="0" w:type="dxa"/>
          <w:bottom w:w="0" w:type="dxa"/>
          <w:right w:w="0" w:type="dxa"/>
        </w:tblCellMar>
      </w:tblPr>
      <w:tblGrid>
        <w:gridCol w:w="75"/>
        <w:gridCol w:w="200"/>
        <w:gridCol w:w="46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000000"/>
                <w:sz w:val="20"/>
              </w:rPr>
            </w:pPr>
            <w:r>
              <w:rPr>
                <w:color w:val="000000"/>
                <w:sz w:val="20"/>
              </w:rPr>
              <w:t>(i)</w:t>
            </w:r>
          </w:p>
        </w:tc>
        <w:tc>
          <w:tcPr>
            <w:tcW w:w="4670" w:type="dxa"/>
            <w:tcBorders/>
            <w:vAlign w:val="center"/>
          </w:tcPr>
          <w:p>
            <w:pPr>
              <w:pStyle w:val="TableContents"/>
              <w:bidi w:val="0"/>
              <w:spacing w:before="0" w:after="0"/>
              <w:jc w:val="left"/>
              <w:rPr>
                <w:color w:val="000000"/>
                <w:sz w:val="20"/>
              </w:rPr>
            </w:pPr>
            <w:r>
              <w:rPr>
                <w:color w:val="000000"/>
                <w:sz w:val="20"/>
              </w:rPr>
              <w:t>a liquidation, dissolution or winding up of the Company,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0" w:name="zfb97fa78619c4bf29ed2a01513306c04"/>
      <w:bookmarkStart w:id="91" w:name="zfb97fa78619c4bf29ed2a01513306c04"/>
      <w:bookmarkEnd w:id="91"/>
    </w:p>
    <w:tbl>
      <w:tblPr>
        <w:tblW w:w="5365" w:type="dxa"/>
        <w:jc w:val="left"/>
        <w:tblInd w:w="0" w:type="dxa"/>
        <w:tblLayout w:type="fixed"/>
        <w:tblCellMar>
          <w:top w:w="0" w:type="dxa"/>
          <w:left w:w="0" w:type="dxa"/>
          <w:bottom w:w="0" w:type="dxa"/>
          <w:right w:w="0" w:type="dxa"/>
        </w:tblCellMar>
      </w:tblPr>
      <w:tblGrid>
        <w:gridCol w:w="75"/>
        <w:gridCol w:w="260"/>
        <w:gridCol w:w="503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olor w:val="000000"/>
                <w:sz w:val="20"/>
              </w:rPr>
            </w:pPr>
            <w:r>
              <w:rPr>
                <w:color w:val="000000"/>
                <w:sz w:val="20"/>
              </w:rPr>
              <w:t>(ii)</w:t>
            </w:r>
          </w:p>
        </w:tc>
        <w:tc>
          <w:tcPr>
            <w:tcW w:w="5030" w:type="dxa"/>
            <w:tcBorders/>
            <w:vAlign w:val="center"/>
          </w:tcPr>
          <w:p>
            <w:pPr>
              <w:pStyle w:val="TableContents"/>
              <w:bidi w:val="0"/>
              <w:spacing w:before="0" w:after="0"/>
              <w:jc w:val="left"/>
              <w:rPr>
                <w:color w:val="000000"/>
                <w:sz w:val="20"/>
              </w:rPr>
            </w:pPr>
            <w:r>
              <w:rPr>
                <w:color w:val="000000"/>
                <w:sz w:val="20"/>
              </w:rPr>
              <w:t>an acquisition of the Company by another person or entity, or</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2" w:name="z8a55747d945b4367980f916f8dcbd758"/>
      <w:bookmarkStart w:id="93" w:name="z8a55747d945b4367980f916f8dcbd758"/>
      <w:bookmarkEnd w:id="93"/>
    </w:p>
    <w:tbl>
      <w:tblPr>
        <w:tblW w:w="10205" w:type="dxa"/>
        <w:jc w:val="left"/>
        <w:tblInd w:w="0" w:type="dxa"/>
        <w:tblLayout w:type="fixed"/>
        <w:tblCellMar>
          <w:top w:w="0" w:type="dxa"/>
          <w:left w:w="0" w:type="dxa"/>
          <w:bottom w:w="0" w:type="dxa"/>
          <w:right w:w="0" w:type="dxa"/>
        </w:tblCellMar>
      </w:tblPr>
      <w:tblGrid>
        <w:gridCol w:w="75"/>
        <w:gridCol w:w="286"/>
        <w:gridCol w:w="9844"/>
      </w:tblGrid>
      <w:tr>
        <w:trPr/>
        <w:tc>
          <w:tcPr>
            <w:tcW w:w="75"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color w:val="000000"/>
                <w:sz w:val="20"/>
              </w:rPr>
            </w:pPr>
            <w:r>
              <w:rPr>
                <w:color w:val="000000"/>
                <w:sz w:val="20"/>
              </w:rPr>
              <w:t>(iii)</w:t>
            </w:r>
          </w:p>
        </w:tc>
        <w:tc>
          <w:tcPr>
            <w:tcW w:w="9844" w:type="dxa"/>
            <w:tcBorders/>
            <w:vAlign w:val="center"/>
          </w:tcPr>
          <w:p>
            <w:pPr>
              <w:pStyle w:val="TableContents"/>
              <w:bidi w:val="0"/>
              <w:spacing w:before="0" w:after="0"/>
              <w:jc w:val="left"/>
              <w:rPr>
                <w:color w:val="000000"/>
                <w:sz w:val="20"/>
              </w:rPr>
            </w:pPr>
            <w:r>
              <w:rPr>
                <w:color w:val="000000"/>
                <w:sz w:val="20"/>
              </w:rPr>
              <w:t>an acquisition of either Shanghai Cullgen Biotechnology Co., Ltd. (“Shanghai Cullgen”) or another subsidiary of the Company to the extent such other subsidiary holds all or substantially all of the assets of the Company and its subsidiaries taken as a whole.</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the event of a Liquidation Event, the holders of redeemable convertible preferred stock shall be entitled to receive an amount equal to the original issue price, plus all declared but unpaid dividends. Liquidation preference is as follows in sequence: Series C, Series B, Series A, Series Seed-1 and Series Seed-2 preferred stock. After payment of the liquidation preference amount distributable on the redeemable convertible preferred stock, all remaining proceeds legally available for distribution to stockholders of the Company shall be distributed pro rata among the holders of the common stock and the holders of redeemable convertible preferred stock on an as-converted basis.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voting, dividend, and liquidation rights of the holders of the common stock are subject to and qualified by the rights, powers, and preferences of the holders of the redeemable convertible preferred stock. The holders of the common stock are entitled to one vote for each share of common stock held at all meetings of stockholders.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March 2, 2026, the Company entered into an Agreement and Plan of Merger and Reorganization (the “Merger Agreement”) with Gyre Therapeutics, Inc., (“Gyre”), and its wholly owned subsidiary, Helix Merger Sub Corp (“Merger Sub”) (Note 16). On March 4, 2026, certain stockholders holding approximately 98% of the outstanding shares of the Company’s preferred and common stock entered into support agreements with the Company pursuant to which such stockholders agreed not to exercise the redemption rights until the earlier of the termination of the Merger Agreement or the closing of the Merger is advisable and in the best interests of the Company and the stockholders of the Company.</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 Collaborations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has no products approved for commercial sales and has not generated any revenue from commercial product sales. The total revenue to date has been generated principally from collaboration and license agreements.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Cullgen and Astellas Collaboration Arrangement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Agreement Terms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June 2023, the Company entered into a Collaboration, Option and License Agreement with Astellas (the “Astellas Agreement”) to discover multiple innovative protein degraders, including a cell cycle protein degrader, and a DNA Repair degrader.</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Upon signing the Astellas Agreement, the Company received an up-front, nonrefundable payment totaling $35,000 and will also receive reimbursements for research and development services performed by the Company for each research target, based on an agreed-upon level of FTE personnel effort, estimated costs and related reimbursement rate.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Astellas has the exclusive option to exclusively license the rights for preclinical &amp; clinical development and commercialization to the compounds identified during the research activities conducted under the Agreement (the “Astella Option”). The Company is eligible to receive further payments upon the exercise of Astellas Option, the achievement of regulatory milestones, the achievement of sales milestones, and royalties on future sales of licensed compounds.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evaluated the Astellas Agreement under ASC 606 as all the material units of account within the agreement represented transactions with a customer. The Company identified the following material components under the agreement: (l) pre-exercise research activities for Collaboration Cell Cycle and DNA Repair; (2) research license; and (3) Astellas Option. The Company determined that pre-exercise research activities for Collaboration Cell Cycle and DNA Repair are each distinct performance obligations within the revenue contract due to being targeted to different stages and licensed fields. The research license components of the revenue contract for Collaboration Cell Cycle and DNA Repair were determined not to be distinct within the context of the contract. Therefore, the research license has been combined with the pre-exercise research activities into a single performance obligation for each of the collaboration targets, respectively. The Company further determined the Astellas Option is not a material right. Thus, two performance obligations were identified: pre-exercise research activities for Collaboration Cell Cycle and DNA Repair.</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allocated the upfront payment to each performance obligation based on the relative SSP, which was determined using an expected cost plus margin approach, as follows: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Cell Cycle: $27,000</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DNA Repair: $8,000</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Upfront non-refundable payments allocated to each collaboration target and the reimbursements are recognized as revenue over time based on the progress towards the completion of performance obligations, which is measured by costs incurred as a percentage of estimated total cost to complete. Estimated costs to complete were reassessed on a periodic basis and accounted for prospectively.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Company’s contract liabilities represent primarily up-front, nonrefundable payment received from the Astellas Agreement which was included in deferred revenue in the consolidated balance sheet. Contract liabilities are released and revenues are recognized over time based on the progress towards the completion of performance obligations.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tables present changes in the Company’s contract liability balances: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4" w:name="z8625976dd791438e9f68f0e48d422c1b"/>
      <w:bookmarkStart w:id="95" w:name="z8625976dd791438e9f68f0e48d422c1b"/>
      <w:bookmarkEnd w:id="95"/>
    </w:p>
    <w:tbl>
      <w:tblPr>
        <w:tblW w:w="8394" w:type="dxa"/>
        <w:jc w:val="left"/>
        <w:tblInd w:w="0" w:type="dxa"/>
        <w:tblLayout w:type="fixed"/>
        <w:tblCellMar>
          <w:top w:w="0" w:type="dxa"/>
          <w:left w:w="0" w:type="dxa"/>
          <w:bottom w:w="0" w:type="dxa"/>
          <w:right w:w="0" w:type="dxa"/>
        </w:tblCellMar>
      </w:tblPr>
      <w:tblGrid>
        <w:gridCol w:w="7055"/>
        <w:gridCol w:w="60"/>
        <w:gridCol w:w="211"/>
        <w:gridCol w:w="1008"/>
        <w:gridCol w:w="60"/>
      </w:tblGrid>
      <w:tr>
        <w:trPr/>
        <w:tc>
          <w:tcPr>
            <w:tcW w:w="705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 xml:space="preserve">December 31, </w:t>
            </w:r>
          </w:p>
          <w:p>
            <w:pPr>
              <w:pStyle w:val="TableContents"/>
              <w:bidi w:val="0"/>
              <w:spacing w:before="0" w:after="0"/>
              <w:jc w:val="center"/>
              <w:rPr>
                <w:b/>
                <w:color w:val="000000"/>
                <w:sz w:val="20"/>
              </w:rPr>
            </w:pPr>
            <w:r>
              <w:rPr>
                <w:b/>
                <w:color w:val="000000"/>
                <w:sz w:val="20"/>
              </w:rPr>
              <w:t>2025</w:t>
            </w:r>
          </w:p>
        </w:tc>
        <w:tc>
          <w:tcPr>
            <w:tcW w:w="60" w:type="dxa"/>
            <w:tcBorders/>
            <w:vAlign w:val="bottom"/>
          </w:tcPr>
          <w:p>
            <w:pPr>
              <w:pStyle w:val="TableContents"/>
              <w:bidi w:val="0"/>
              <w:spacing w:before="0" w:after="283"/>
              <w:jc w:val="left"/>
              <w:rPr/>
            </w:pPr>
            <w:r>
              <w:rPr/>
              <w:t> </w:t>
            </w:r>
          </w:p>
        </w:tc>
      </w:tr>
      <w:tr>
        <w:trPr/>
        <w:tc>
          <w:tcPr>
            <w:tcW w:w="7055" w:type="dxa"/>
            <w:tcBorders/>
            <w:shd w:fill="CCEEFF" w:val="clear"/>
            <w:vAlign w:val="bottom"/>
          </w:tcPr>
          <w:p>
            <w:pPr>
              <w:pStyle w:val="TableContents"/>
              <w:bidi w:val="0"/>
              <w:spacing w:before="0" w:after="0"/>
              <w:jc w:val="left"/>
              <w:rPr>
                <w:color w:val="000000"/>
                <w:sz w:val="20"/>
              </w:rPr>
            </w:pPr>
            <w:r>
              <w:rPr>
                <w:color w:val="000000"/>
                <w:sz w:val="20"/>
              </w:rPr>
              <w:t>Contract liabilities</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color w:val="000000"/>
                <w:sz w:val="20"/>
              </w:rPr>
            </w:pPr>
            <w:r>
              <w:rPr>
                <w:color w:val="000000"/>
                <w:sz w:val="20"/>
              </w:rPr>
              <w:t>$</w:t>
            </w:r>
          </w:p>
        </w:tc>
        <w:tc>
          <w:tcPr>
            <w:tcW w:w="1008" w:type="dxa"/>
            <w:tcBorders/>
            <w:shd w:fill="CCEEFF" w:val="clear"/>
            <w:vAlign w:val="bottom"/>
          </w:tcPr>
          <w:p>
            <w:pPr>
              <w:pStyle w:val="TableContents"/>
              <w:bidi w:val="0"/>
              <w:spacing w:before="0" w:after="0"/>
              <w:jc w:val="right"/>
              <w:rPr>
                <w:color w:val="000000"/>
                <w:sz w:val="20"/>
              </w:rPr>
            </w:pPr>
            <w:r>
              <w:rPr>
                <w:color w:val="000000"/>
                <w:sz w:val="20"/>
              </w:rPr>
              <w:t>1,000</w:t>
            </w:r>
          </w:p>
        </w:tc>
        <w:tc>
          <w:tcPr>
            <w:tcW w:w="60" w:type="dxa"/>
            <w:tcBorders/>
            <w:shd w:fill="CCEEFF" w:val="clear"/>
            <w:vAlign w:val="bottom"/>
          </w:tcPr>
          <w:p>
            <w:pPr>
              <w:pStyle w:val="TableContents"/>
              <w:bidi w:val="0"/>
              <w:spacing w:before="0" w:after="283"/>
              <w:jc w:val="left"/>
              <w:rPr/>
            </w:pPr>
            <w:r>
              <w:rPr/>
              <w:t> </w:t>
            </w:r>
          </w:p>
        </w:tc>
      </w:tr>
      <w:tr>
        <w:trPr/>
        <w:tc>
          <w:tcPr>
            <w:tcW w:w="7055" w:type="dxa"/>
            <w:tcBorders/>
            <w:vAlign w:val="bottom"/>
          </w:tcPr>
          <w:p>
            <w:pPr>
              <w:pStyle w:val="TableContents"/>
              <w:bidi w:val="0"/>
              <w:spacing w:before="0" w:after="0"/>
              <w:jc w:val="left"/>
              <w:rPr>
                <w:color w:val="000000"/>
                <w:sz w:val="20"/>
              </w:rPr>
            </w:pPr>
            <w:r>
              <w:rPr>
                <w:color w:val="000000"/>
                <w:sz w:val="20"/>
              </w:rPr>
              <w:t>Revenue recognized in the year from the contract liability at the beginning of the year:</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0"/>
              <w:jc w:val="right"/>
              <w:rPr>
                <w:color w:val="000000"/>
                <w:sz w:val="20"/>
              </w:rPr>
            </w:pPr>
            <w:r>
              <w:rPr>
                <w:color w:val="000000"/>
                <w:sz w:val="20"/>
              </w:rPr>
              <w:t>10,076</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b/>
          <w:color w:val="000000"/>
          <w:sz w:val="20"/>
        </w:rPr>
      </w:pPr>
      <w:r>
        <w:rPr>
          <w:b/>
          <w:color w:val="000000"/>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9. Stock-Based Compensation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Stock Incentive Plan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April 25, 2018, the Company approved the 2018 Stock Incentive Plan (the “2018 Plan”). The 2018 Plan provides for the issuance of 7,500,000 shares of common stock to officers, directors, employees, non-employee directors, and consultants of the Company through awards of stock options, restricted stock awards, restricted stock units, and other stock awards. On March 2, 2021, the board approved an increase in the number of shares to 9,000,000.</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has granted stock options under the 2018 Plan, exercisable at various dates as determined upon grant, and will expire no more than ten years from their date of grant. The term of an Incentive Stock Option (ISO) granted to a 10% stockholder shall not exceed five years from the date of grant. Stock options generally vest over a four-year term. The exercise price of each option shall be determined by the board of directors.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Stock option activity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summarizes the stock option activity:</w:t>
      </w:r>
    </w:p>
    <w:p>
      <w:pPr>
        <w:pStyle w:val="TextBody"/>
        <w:bidi w:val="0"/>
        <w:spacing w:before="0" w:after="0"/>
        <w:jc w:val="both"/>
        <w:rPr>
          <w:color w:val="000000"/>
          <w:sz w:val="20"/>
        </w:rPr>
      </w:pPr>
      <w:r>
        <w:rPr>
          <w:color w:val="000000"/>
          <w:sz w:val="20"/>
        </w:rPr>
      </w:r>
    </w:p>
    <w:p>
      <w:pPr>
        <w:pStyle w:val="Normal"/>
        <w:bidi w:val="0"/>
        <w:spacing w:before="0" w:after="0"/>
        <w:jc w:val="left"/>
        <w:rPr>
          <w:sz w:val="4"/>
          <w:szCs w:val="4"/>
        </w:rPr>
      </w:pPr>
      <w:r>
        <w:rPr>
          <w:sz w:val="4"/>
          <w:szCs w:val="4"/>
        </w:rPr>
      </w:r>
      <w:bookmarkStart w:id="96" w:name="z2254e3934e46492c9ed1c79df4fa83f3"/>
      <w:bookmarkStart w:id="97" w:name="z2254e3934e46492c9ed1c79df4fa83f3"/>
      <w:bookmarkEnd w:id="97"/>
    </w:p>
    <w:tbl>
      <w:tblPr>
        <w:tblW w:w="9055" w:type="dxa"/>
        <w:jc w:val="left"/>
        <w:tblInd w:w="0" w:type="dxa"/>
        <w:tblLayout w:type="fixed"/>
        <w:tblCellMar>
          <w:top w:w="0" w:type="dxa"/>
          <w:left w:w="0" w:type="dxa"/>
          <w:bottom w:w="0" w:type="dxa"/>
          <w:right w:w="0" w:type="dxa"/>
        </w:tblCellMar>
      </w:tblPr>
      <w:tblGrid>
        <w:gridCol w:w="3950"/>
        <w:gridCol w:w="60"/>
        <w:gridCol w:w="60"/>
        <w:gridCol w:w="845"/>
        <w:gridCol w:w="60"/>
        <w:gridCol w:w="60"/>
        <w:gridCol w:w="170"/>
        <w:gridCol w:w="1080"/>
        <w:gridCol w:w="60"/>
        <w:gridCol w:w="60"/>
        <w:gridCol w:w="213"/>
        <w:gridCol w:w="1352"/>
        <w:gridCol w:w="60"/>
        <w:gridCol w:w="60"/>
        <w:gridCol w:w="99"/>
        <w:gridCol w:w="806"/>
        <w:gridCol w:w="60"/>
      </w:tblGrid>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Options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Weighted-</w:t>
            </w:r>
          </w:p>
          <w:p>
            <w:pPr>
              <w:pStyle w:val="TableContents"/>
              <w:bidi w:val="0"/>
              <w:spacing w:before="0" w:after="0"/>
              <w:jc w:val="center"/>
              <w:rPr>
                <w:b/>
                <w:color w:val="000000"/>
                <w:sz w:val="20"/>
              </w:rPr>
            </w:pPr>
            <w:r>
              <w:rPr>
                <w:b/>
                <w:color w:val="000000"/>
                <w:sz w:val="20"/>
              </w:rPr>
              <w:t>Average</w:t>
            </w:r>
          </w:p>
          <w:p>
            <w:pPr>
              <w:pStyle w:val="TableContents"/>
              <w:bidi w:val="0"/>
              <w:spacing w:before="0" w:after="0"/>
              <w:jc w:val="center"/>
              <w:rPr>
                <w:b/>
                <w:color w:val="000000"/>
                <w:sz w:val="20"/>
              </w:rPr>
            </w:pPr>
            <w:r>
              <w:rPr>
                <w:b/>
                <w:color w:val="000000"/>
                <w:sz w:val="20"/>
              </w:rPr>
              <w:t>Exercise 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5" w:type="dxa"/>
            <w:gridSpan w:val="2"/>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Weighted-</w:t>
            </w:r>
          </w:p>
          <w:p>
            <w:pPr>
              <w:pStyle w:val="TableContents"/>
              <w:bidi w:val="0"/>
              <w:spacing w:before="0" w:after="0"/>
              <w:jc w:val="center"/>
              <w:rPr>
                <w:b/>
                <w:color w:val="000000"/>
                <w:sz w:val="20"/>
              </w:rPr>
            </w:pPr>
            <w:r>
              <w:rPr>
                <w:b/>
                <w:color w:val="000000"/>
                <w:sz w:val="20"/>
              </w:rPr>
              <w:t>Average</w:t>
            </w:r>
          </w:p>
          <w:p>
            <w:pPr>
              <w:pStyle w:val="TableContents"/>
              <w:bidi w:val="0"/>
              <w:spacing w:before="0" w:after="0"/>
              <w:jc w:val="center"/>
              <w:rPr>
                <w:b/>
                <w:color w:val="000000"/>
                <w:sz w:val="20"/>
              </w:rPr>
            </w:pPr>
            <w:r>
              <w:rPr>
                <w:b/>
                <w:color w:val="000000"/>
                <w:sz w:val="20"/>
              </w:rPr>
              <w:t>Remaining</w:t>
            </w:r>
          </w:p>
          <w:p>
            <w:pPr>
              <w:pStyle w:val="TableContents"/>
              <w:bidi w:val="0"/>
              <w:spacing w:before="0" w:after="0"/>
              <w:jc w:val="center"/>
              <w:rPr>
                <w:b/>
                <w:color w:val="000000"/>
                <w:sz w:val="20"/>
              </w:rPr>
            </w:pPr>
            <w:r>
              <w:rPr>
                <w:b/>
                <w:color w:val="000000"/>
                <w:sz w:val="20"/>
              </w:rPr>
              <w:t>Contractual Term</w:t>
            </w:r>
          </w:p>
          <w:p>
            <w:pPr>
              <w:pStyle w:val="TableContents"/>
              <w:bidi w:val="0"/>
              <w:spacing w:before="0" w:after="0"/>
              <w:jc w:val="center"/>
              <w:rPr>
                <w:b/>
                <w:color w:val="000000"/>
                <w:sz w:val="20"/>
              </w:rPr>
            </w:pPr>
            <w:r>
              <w:rPr>
                <w:b/>
                <w:color w:val="000000"/>
                <w:sz w:val="20"/>
              </w:rPr>
              <w:t>(Years)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0"/>
              <w:jc w:val="center"/>
              <w:rPr>
                <w:b/>
                <w:color w:val="000000"/>
                <w:sz w:val="20"/>
              </w:rPr>
            </w:pPr>
            <w:r>
              <w:rPr>
                <w:b/>
                <w:color w:val="000000"/>
                <w:sz w:val="20"/>
              </w:rPr>
              <w:t>Aggregate</w:t>
            </w:r>
          </w:p>
          <w:p>
            <w:pPr>
              <w:pStyle w:val="TableContents"/>
              <w:bidi w:val="0"/>
              <w:spacing w:before="0" w:after="0"/>
              <w:jc w:val="center"/>
              <w:rPr>
                <w:b/>
                <w:color w:val="000000"/>
                <w:sz w:val="20"/>
              </w:rPr>
            </w:pPr>
            <w:r>
              <w:rPr>
                <w:b/>
                <w:color w:val="000000"/>
                <w:sz w:val="20"/>
              </w:rPr>
              <w:t>Intrinsic</w:t>
            </w:r>
          </w:p>
          <w:p>
            <w:pPr>
              <w:pStyle w:val="TableContents"/>
              <w:bidi w:val="0"/>
              <w:spacing w:before="0" w:after="0"/>
              <w:jc w:val="center"/>
              <w:rPr>
                <w:b/>
                <w:color w:val="000000"/>
                <w:sz w:val="20"/>
              </w:rPr>
            </w:pPr>
            <w:r>
              <w:rPr>
                <w:b/>
                <w:color w:val="000000"/>
                <w:sz w:val="20"/>
              </w:rPr>
              <w:t>Value</w:t>
            </w:r>
          </w:p>
        </w:tc>
        <w:tc>
          <w:tcPr>
            <w:tcW w:w="6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both"/>
              <w:rPr>
                <w:color w:val="000000"/>
                <w:sz w:val="20"/>
              </w:rPr>
            </w:pPr>
            <w:r>
              <w:rPr>
                <w:color w:val="000000"/>
                <w:sz w:val="20"/>
              </w:rPr>
              <w:t>Outstanding, January 1, 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sz w:val="20"/>
              </w:rPr>
            </w:pPr>
            <w:r>
              <w:rPr>
                <w:color w:val="000000"/>
                <w:sz w:val="20"/>
              </w:rPr>
              <w:t>8,976,385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0"/>
              <w:jc w:val="right"/>
              <w:rPr>
                <w:color w:val="000000"/>
                <w:sz w:val="20"/>
              </w:rPr>
            </w:pPr>
            <w:r>
              <w:rPr>
                <w:color w:val="000000"/>
                <w:sz w:val="20"/>
              </w:rPr>
              <w:t>0.97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0"/>
              <w:jc w:val="right"/>
              <w:rPr>
                <w:color w:val="000000"/>
                <w:sz w:val="20"/>
              </w:rPr>
            </w:pPr>
            <w:r>
              <w:rPr>
                <w:color w:val="000000"/>
                <w:sz w:val="20"/>
              </w:rPr>
              <w:t>6.07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0"/>
              <w:jc w:val="right"/>
              <w:rPr>
                <w:color w:val="000000"/>
                <w:sz w:val="20"/>
              </w:rPr>
            </w:pPr>
            <w:r>
              <w:rPr>
                <w:color w:val="000000"/>
                <w:sz w:val="20"/>
              </w:rPr>
              <w:t>8,907</w:t>
            </w:r>
          </w:p>
        </w:tc>
        <w:tc>
          <w:tcPr>
            <w:tcW w:w="6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both"/>
              <w:rPr>
                <w:color w:val="000000"/>
                <w:sz w:val="20"/>
              </w:rPr>
            </w:pPr>
            <w:r>
              <w:rPr>
                <w:color w:val="000000"/>
                <w:sz w:val="20"/>
              </w:rPr>
              <w:t>Granted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both"/>
              <w:rPr>
                <w:color w:val="000000"/>
                <w:sz w:val="20"/>
              </w:rPr>
            </w:pPr>
            <w:r>
              <w:rPr>
                <w:color w:val="000000"/>
                <w:sz w:val="20"/>
              </w:rPr>
              <w:t>Exercised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both"/>
              <w:rPr>
                <w:color w:val="000000"/>
                <w:sz w:val="20"/>
              </w:rPr>
            </w:pPr>
            <w:r>
              <w:rPr>
                <w:color w:val="000000"/>
                <w:sz w:val="20"/>
              </w:rPr>
              <w:t>Forfeited (unvested)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sz w:val="20"/>
              </w:rPr>
            </w:pPr>
            <w:r>
              <w:rPr>
                <w:color w:val="000000"/>
                <w:sz w:val="20"/>
              </w:rPr>
              <w:t>146,792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0"/>
              <w:jc w:val="right"/>
              <w:rPr>
                <w:color w:val="000000"/>
                <w:sz w:val="20"/>
              </w:rPr>
            </w:pPr>
            <w:r>
              <w:rPr>
                <w:color w:val="000000"/>
                <w:sz w:val="20"/>
              </w:rPr>
              <w:t>1.57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both"/>
              <w:rPr>
                <w:color w:val="000000"/>
                <w:sz w:val="20"/>
              </w:rPr>
            </w:pPr>
            <w:r>
              <w:rPr>
                <w:color w:val="000000"/>
                <w:sz w:val="20"/>
              </w:rPr>
              <w:t>Expired (vested)</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210,000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0"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0.96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5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both"/>
              <w:rPr>
                <w:color w:val="000000"/>
                <w:sz w:val="20"/>
              </w:rPr>
            </w:pPr>
            <w:r>
              <w:rPr>
                <w:color w:val="000000"/>
                <w:sz w:val="20"/>
              </w:rPr>
              <w:t>Outstanding, December 31, 2025</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8,619,593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1080"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0.96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bottom w:val="double" w:sz="8" w:space="0" w:color="000000"/>
            </w:tcBorders>
            <w:tcMar>
              <w:bottom w:w="28" w:type="dxa"/>
            </w:tcMar>
            <w:vAlign w:val="bottom"/>
          </w:tcPr>
          <w:p>
            <w:pPr>
              <w:pStyle w:val="TableContents"/>
              <w:bidi w:val="0"/>
              <w:spacing w:before="0" w:after="283"/>
              <w:jc w:val="left"/>
              <w:rPr/>
            </w:pPr>
            <w:r>
              <w:rPr/>
              <w:t> </w:t>
            </w:r>
          </w:p>
        </w:tc>
        <w:tc>
          <w:tcPr>
            <w:tcW w:w="1352"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4.99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bottom w:val="double" w:sz="8" w:space="0" w:color="000000"/>
            </w:tcBorders>
            <w:tcMar>
              <w:bottom w:w="28" w:type="dxa"/>
            </w:tcMar>
            <w:vAlign w:val="bottom"/>
          </w:tcPr>
          <w:p>
            <w:pPr>
              <w:pStyle w:val="TableContents"/>
              <w:bidi w:val="0"/>
              <w:spacing w:before="0" w:after="283"/>
              <w:jc w:val="left"/>
              <w:rPr/>
            </w:pPr>
            <w:r>
              <w:rPr/>
              <w:t> </w:t>
            </w:r>
          </w:p>
        </w:tc>
        <w:tc>
          <w:tcPr>
            <w:tcW w:w="806" w:type="dxa"/>
            <w:tcBorders>
              <w:bottom w:val="double" w:sz="8" w:space="0" w:color="000000"/>
            </w:tcBorders>
            <w:tcMar>
              <w:bottom w:w="28" w:type="dxa"/>
            </w:tcMar>
            <w:vAlign w:val="bottom"/>
          </w:tcPr>
          <w:p>
            <w:pPr>
              <w:pStyle w:val="TableContents"/>
              <w:bidi w:val="0"/>
              <w:spacing w:before="0" w:after="0"/>
              <w:jc w:val="right"/>
              <w:rPr>
                <w:color w:val="000000"/>
                <w:sz w:val="20"/>
              </w:rPr>
            </w:pPr>
            <w:r>
              <w:rPr>
                <w:color w:val="000000"/>
                <w:sz w:val="20"/>
              </w:rPr>
              <w:t>8,649</w:t>
            </w:r>
          </w:p>
        </w:tc>
        <w:tc>
          <w:tcPr>
            <w:tcW w:w="6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both"/>
              <w:rPr>
                <w:color w:val="000000"/>
                <w:sz w:val="20"/>
              </w:rPr>
            </w:pPr>
            <w:r>
              <w:rPr>
                <w:color w:val="000000"/>
                <w:sz w:val="20"/>
              </w:rPr>
              <w:t>Exercisable, December 31, 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sz w:val="20"/>
              </w:rPr>
            </w:pPr>
            <w:r>
              <w:rPr>
                <w:color w:val="000000"/>
                <w:sz w:val="20"/>
              </w:rPr>
              <w:t>7,566,094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0"/>
              <w:jc w:val="right"/>
              <w:rPr>
                <w:color w:val="000000"/>
                <w:sz w:val="20"/>
              </w:rPr>
            </w:pPr>
            <w:r>
              <w:rPr>
                <w:color w:val="000000"/>
                <w:sz w:val="20"/>
              </w:rPr>
              <w:t>0.73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0"/>
              <w:jc w:val="right"/>
              <w:rPr>
                <w:color w:val="000000"/>
                <w:sz w:val="20"/>
              </w:rPr>
            </w:pPr>
            <w:r>
              <w:rPr>
                <w:color w:val="000000"/>
                <w:sz w:val="20"/>
              </w:rPr>
              <w:t>4.46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0"/>
              <w:jc w:val="right"/>
              <w:rPr>
                <w:color w:val="000000"/>
                <w:sz w:val="20"/>
              </w:rPr>
            </w:pPr>
            <w:r>
              <w:rPr>
                <w:color w:val="000000"/>
                <w:sz w:val="20"/>
              </w:rPr>
              <w:t>8,559</w:t>
            </w:r>
          </w:p>
        </w:tc>
        <w:tc>
          <w:tcPr>
            <w:tcW w:w="6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both"/>
              <w:rPr>
                <w:color w:val="000000"/>
                <w:sz w:val="20"/>
              </w:rPr>
            </w:pPr>
            <w:r>
              <w:rPr>
                <w:color w:val="000000"/>
                <w:sz w:val="20"/>
              </w:rPr>
              <w:t>Vested and expected to vest, December 31,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sz w:val="20"/>
              </w:rPr>
            </w:pPr>
            <w:r>
              <w:rPr>
                <w:color w:val="000000"/>
                <w:sz w:val="20"/>
              </w:rPr>
              <w:t>8,619,593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0"/>
              <w:jc w:val="right"/>
              <w:rPr>
                <w:color w:val="000000"/>
                <w:sz w:val="20"/>
              </w:rPr>
            </w:pPr>
            <w:r>
              <w:rPr>
                <w:color w:val="000000"/>
                <w:sz w:val="20"/>
              </w:rPr>
              <w:t>0.96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0"/>
              <w:jc w:val="right"/>
              <w:rPr>
                <w:color w:val="000000"/>
                <w:sz w:val="20"/>
              </w:rPr>
            </w:pPr>
            <w:r>
              <w:rPr>
                <w:color w:val="000000"/>
                <w:sz w:val="20"/>
              </w:rPr>
              <w:t>4.99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0"/>
              <w:jc w:val="right"/>
              <w:rPr>
                <w:color w:val="000000"/>
                <w:sz w:val="20"/>
              </w:rPr>
            </w:pPr>
            <w:r>
              <w:rPr>
                <w:color w:val="000000"/>
                <w:sz w:val="20"/>
              </w:rPr>
              <w:t>8,649</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aggregate intrinsic value in the table above is calculated as the difference between the exercise price of the awards and the fair value of the underlying common stock at each reporting date, for those awards that had exercise price below the estimated fair value of the relevant common stock. No options were granted during the year ended December 31, 2025. As of December 31, 2025, unrecognized stock-based compensation cost related to unvested stock options was $1,827, which is expected to be recognized over a weighted-average period of 2.72 years. No stock options were exercised during the year ended December 31, 2025.</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Stock-based compensation expense included in the Company’s consolidated statement of comprehensive loss is as follows:</w:t>
      </w:r>
    </w:p>
    <w:p>
      <w:pPr>
        <w:pStyle w:val="TextBody"/>
        <w:bidi w:val="0"/>
        <w:spacing w:before="0" w:after="0"/>
        <w:jc w:val="both"/>
        <w:rPr>
          <w:color w:val="000000"/>
          <w:sz w:val="20"/>
        </w:rPr>
      </w:pPr>
      <w:r>
        <w:rPr>
          <w:color w:val="000000"/>
          <w:sz w:val="20"/>
        </w:rPr>
      </w:r>
    </w:p>
    <w:p>
      <w:pPr>
        <w:pStyle w:val="Normal"/>
        <w:bidi w:val="0"/>
        <w:spacing w:before="0" w:after="0"/>
        <w:jc w:val="left"/>
        <w:rPr>
          <w:sz w:val="4"/>
          <w:szCs w:val="4"/>
        </w:rPr>
      </w:pPr>
      <w:r>
        <w:rPr>
          <w:sz w:val="4"/>
          <w:szCs w:val="4"/>
        </w:rPr>
      </w:r>
      <w:bookmarkStart w:id="98" w:name="z17964d21386b48ba98d37d85e6d193f9"/>
      <w:bookmarkStart w:id="99" w:name="z17964d21386b48ba98d37d85e6d193f9"/>
      <w:bookmarkEnd w:id="99"/>
    </w:p>
    <w:tbl>
      <w:tblPr>
        <w:tblW w:w="4764" w:type="dxa"/>
        <w:jc w:val="left"/>
        <w:tblInd w:w="0" w:type="dxa"/>
        <w:tblLayout w:type="fixed"/>
        <w:tblCellMar>
          <w:top w:w="0" w:type="dxa"/>
          <w:left w:w="0" w:type="dxa"/>
          <w:bottom w:w="0" w:type="dxa"/>
          <w:right w:w="0" w:type="dxa"/>
        </w:tblCellMar>
      </w:tblPr>
      <w:tblGrid>
        <w:gridCol w:w="3425"/>
        <w:gridCol w:w="60"/>
        <w:gridCol w:w="330"/>
        <w:gridCol w:w="889"/>
        <w:gridCol w:w="60"/>
      </w:tblGrid>
      <w:tr>
        <w:trPr/>
        <w:tc>
          <w:tcPr>
            <w:tcW w:w="3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Year Ended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December 31,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2025 </w:t>
            </w:r>
          </w:p>
        </w:tc>
        <w:tc>
          <w:tcPr>
            <w:tcW w:w="6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jc w:val="both"/>
              <w:rPr>
                <w:color w:val="000000"/>
                <w:sz w:val="20"/>
              </w:rPr>
            </w:pPr>
            <w:r>
              <w:rPr>
                <w:color w:val="000000"/>
                <w:sz w:val="20"/>
              </w:rPr>
              <w:t>Research and development expenses</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0"/>
              <w:jc w:val="left"/>
              <w:rPr>
                <w:color w:val="000000"/>
                <w:sz w:val="20"/>
              </w:rPr>
            </w:pPr>
            <w:r>
              <w:rPr>
                <w:color w:val="000000"/>
                <w:sz w:val="20"/>
              </w:rPr>
              <w:t>$</w:t>
            </w:r>
          </w:p>
        </w:tc>
        <w:tc>
          <w:tcPr>
            <w:tcW w:w="889" w:type="dxa"/>
            <w:tcBorders/>
            <w:shd w:fill="CCEEFF" w:val="clear"/>
            <w:vAlign w:val="bottom"/>
          </w:tcPr>
          <w:p>
            <w:pPr>
              <w:pStyle w:val="TableContents"/>
              <w:bidi w:val="0"/>
              <w:spacing w:before="0" w:after="0"/>
              <w:jc w:val="right"/>
              <w:rPr>
                <w:color w:val="000000"/>
                <w:sz w:val="20"/>
              </w:rPr>
            </w:pPr>
            <w:r>
              <w:rPr>
                <w:color w:val="000000"/>
                <w:sz w:val="20"/>
              </w:rPr>
              <w:t>288</w:t>
            </w:r>
          </w:p>
        </w:tc>
        <w:tc>
          <w:tcPr>
            <w:tcW w:w="60"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jc w:val="both"/>
              <w:rPr>
                <w:color w:val="000000"/>
                <w:sz w:val="20"/>
              </w:rPr>
            </w:pPr>
            <w:r>
              <w:rPr>
                <w:color w:val="000000"/>
                <w:sz w:val="20"/>
              </w:rPr>
              <w:t>General and administrative expenses</w:t>
            </w:r>
          </w:p>
        </w:tc>
        <w:tc>
          <w:tcPr>
            <w:tcW w:w="60" w:type="dxa"/>
            <w:tcBorders/>
            <w:vAlign w:val="bottom"/>
          </w:tcPr>
          <w:p>
            <w:pPr>
              <w:pStyle w:val="TableContents"/>
              <w:bidi w:val="0"/>
              <w:spacing w:before="0" w:after="283"/>
              <w:jc w:val="left"/>
              <w:rPr/>
            </w:pPr>
            <w:r>
              <w:rPr/>
              <w:t> </w:t>
            </w:r>
          </w:p>
        </w:tc>
        <w:tc>
          <w:tcPr>
            <w:tcW w:w="330"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649</w:t>
            </w:r>
          </w:p>
        </w:tc>
        <w:tc>
          <w:tcPr>
            <w:tcW w:w="6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80" w:right="0" w:hanging="0"/>
              <w:jc w:val="both"/>
              <w:rPr>
                <w:color w:val="000000"/>
                <w:sz w:val="20"/>
              </w:rPr>
            </w:pPr>
            <w:r>
              <w:rPr>
                <w:color w:val="000000"/>
                <w:sz w:val="20"/>
              </w:rPr>
              <w:t>Total stock-based compensation expenses</w:t>
            </w:r>
          </w:p>
        </w:tc>
        <w:tc>
          <w:tcPr>
            <w:tcW w:w="60" w:type="dxa"/>
            <w:tcBorders/>
            <w:shd w:fill="CCEEFF" w:val="clear"/>
            <w:vAlign w:val="bottom"/>
          </w:tcPr>
          <w:p>
            <w:pPr>
              <w:pStyle w:val="TableContents"/>
              <w:bidi w:val="0"/>
              <w:spacing w:before="0" w:after="283"/>
              <w:jc w:val="left"/>
              <w:rPr/>
            </w:pPr>
            <w:r>
              <w:rPr/>
              <w:t> </w:t>
            </w:r>
          </w:p>
        </w:tc>
        <w:tc>
          <w:tcPr>
            <w:tcW w:w="330" w:type="dxa"/>
            <w:tcBorders>
              <w:bottom w:val="double" w:sz="8" w:space="0" w:color="000000"/>
            </w:tcBorders>
            <w:shd w:fill="CCEEFF" w:val="clear"/>
            <w:tcMar>
              <w:bottom w:w="28" w:type="dxa"/>
            </w:tcMar>
            <w:vAlign w:val="bottom"/>
          </w:tcPr>
          <w:p>
            <w:pPr>
              <w:pStyle w:val="TableContents"/>
              <w:bidi w:val="0"/>
              <w:spacing w:before="0" w:after="0"/>
              <w:jc w:val="left"/>
              <w:rPr>
                <w:color w:val="000000"/>
                <w:sz w:val="20"/>
              </w:rPr>
            </w:pPr>
            <w:r>
              <w:rPr>
                <w:color w:val="000000"/>
                <w:sz w:val="20"/>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937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370" w:after="283"/>
        <w:jc w:val="left"/>
        <w:rPr>
          <w:rFonts w:ascii="Times New Roman" w:hAnsi="Times New Roman"/>
          <w:b/>
          <w:color w:val="000000"/>
          <w:sz w:val="20"/>
        </w:rPr>
      </w:pPr>
      <w:r>
        <w:rPr>
          <w:rFonts w:ascii="Times New Roman" w:hAnsi="Times New Roman"/>
          <w:b/>
          <w:color w:val="000000"/>
          <w:sz w:val="20"/>
        </w:rPr>
        <w:t>10.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taxation in the United States, California, China, and Australia. The Company is subject to income tax examination by tax authorities in those jurisdictions for the years beginning in 2018 as the Company was incorporated on February 26, 2018. The Company is not currently under examination by any jurisdiction.</w:t>
      </w:r>
    </w:p>
    <w:p>
      <w:pPr>
        <w:pStyle w:val="TextBody"/>
        <w:bidi w:val="0"/>
        <w:spacing w:before="120" w:after="283"/>
        <w:jc w:val="both"/>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Income (loss) before income taxes was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00" w:name="z642b348f2784401abb5c11c3f4d3ac4f"/>
      <w:bookmarkStart w:id="101" w:name="z642b348f2784401abb5c11c3f4d3ac4f"/>
      <w:bookmarkEnd w:id="101"/>
    </w:p>
    <w:tbl>
      <w:tblPr>
        <w:tblW w:w="4560" w:type="dxa"/>
        <w:jc w:val="left"/>
        <w:tblInd w:w="0" w:type="dxa"/>
        <w:tblLayout w:type="fixed"/>
        <w:tblCellMar>
          <w:top w:w="0" w:type="dxa"/>
          <w:left w:w="0" w:type="dxa"/>
          <w:bottom w:w="0" w:type="dxa"/>
          <w:right w:w="0" w:type="dxa"/>
        </w:tblCellMar>
      </w:tblPr>
      <w:tblGrid>
        <w:gridCol w:w="3155"/>
        <w:gridCol w:w="60"/>
        <w:gridCol w:w="196"/>
        <w:gridCol w:w="1024"/>
        <w:gridCol w:w="125"/>
      </w:tblGrid>
      <w:tr>
        <w:trPr/>
        <w:tc>
          <w:tcPr>
            <w:tcW w:w="3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Year Ended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December 31,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2025 </w:t>
            </w:r>
          </w:p>
        </w:tc>
        <w:tc>
          <w:tcPr>
            <w:tcW w:w="12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U.S. operations</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(7,611</w:t>
            </w:r>
          </w:p>
        </w:tc>
        <w:tc>
          <w:tcPr>
            <w:tcW w:w="12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 xml:space="preserve">) </w:t>
            </w:r>
          </w:p>
        </w:tc>
      </w:tr>
      <w:tr>
        <w:trPr/>
        <w:tc>
          <w:tcPr>
            <w:tcW w:w="315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Non-U.S. operations</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(4,284</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1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Loss before provision for income taxes</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(11,895</w:t>
            </w:r>
          </w:p>
        </w:tc>
        <w:tc>
          <w:tcPr>
            <w:tcW w:w="12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federal current tax provision benefit of $1,090 has been recorded for the year ended December 31, 2025. The difference between the Company’s 2025 effective tax rate of 9.3% and the U.S. federal statutory tax rate of 21% is largely due to the Company's net operating losses which are offset by the valuation allowance, and a $1,111 tax benefit as a result of the One Big Beautiful Bill Act.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A reconciliation of the provision for income taxes to the amount computed by applying the statutory federal income tax rate to the net loss is summarized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02" w:name="z6c60d3c00f3b486ea0016afeac5d8416"/>
      <w:bookmarkStart w:id="103" w:name="z6c60d3c00f3b486ea0016afeac5d8416"/>
      <w:bookmarkEnd w:id="103"/>
    </w:p>
    <w:tbl>
      <w:tblPr>
        <w:tblW w:w="3630" w:type="dxa"/>
        <w:jc w:val="left"/>
        <w:tblInd w:w="0" w:type="dxa"/>
        <w:tblLayout w:type="fixed"/>
        <w:tblCellMar>
          <w:top w:w="0" w:type="dxa"/>
          <w:left w:w="0" w:type="dxa"/>
          <w:bottom w:w="0" w:type="dxa"/>
          <w:right w:w="0" w:type="dxa"/>
        </w:tblCellMar>
      </w:tblPr>
      <w:tblGrid>
        <w:gridCol w:w="2105"/>
        <w:gridCol w:w="60"/>
        <w:gridCol w:w="166"/>
        <w:gridCol w:w="1054"/>
        <w:gridCol w:w="245"/>
      </w:tblGrid>
      <w:tr>
        <w:trPr/>
        <w:tc>
          <w:tcPr>
            <w:tcW w:w="2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Year Ended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December 31,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2025 </w:t>
            </w:r>
          </w:p>
        </w:tc>
        <w:tc>
          <w:tcPr>
            <w:tcW w:w="245" w:type="dxa"/>
            <w:tcBorders/>
            <w:vAlign w:val="bottom"/>
          </w:tcPr>
          <w:p>
            <w:pPr>
              <w:pStyle w:val="TableContents"/>
              <w:bidi w:val="0"/>
              <w:spacing w:before="0" w:after="283"/>
              <w:jc w:val="left"/>
              <w:rPr/>
            </w:pPr>
            <w:r>
              <w:rPr/>
              <w:t> </w:t>
            </w:r>
          </w:p>
        </w:tc>
      </w:tr>
      <w:tr>
        <w:trPr/>
        <w:tc>
          <w:tcPr>
            <w:tcW w:w="210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Domestic statutory rate</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10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Foreign rate differential</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10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R&amp;D Super Deduction</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10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R&amp;D Credits</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0.7</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10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GILTI/Subpart F Income*</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w:t>
            </w:r>
          </w:p>
        </w:tc>
        <w:tc>
          <w:tcPr>
            <w:tcW w:w="24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10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250 Deduction</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left"/>
        <w:rPr>
          <w:rFonts w:ascii="Times New Roman" w:hAnsi="Times New Roman"/>
          <w:sz w:val="20"/>
        </w:rPr>
      </w:pPr>
      <w:r>
        <w:rPr>
          <w:rFonts w:ascii="Times New Roman" w:hAnsi="Times New Roman"/>
          <w:sz w:val="20"/>
        </w:rPr>
      </w:r>
      <w:bookmarkStart w:id="104" w:name="z248db0d8a8bf48938e3da8a5e2c5f391"/>
      <w:bookmarkStart w:id="105" w:name="z248db0d8a8bf48938e3da8a5e2c5f391"/>
      <w:bookmarkEnd w:id="105"/>
    </w:p>
    <w:tbl>
      <w:tblPr>
        <w:tblW w:w="4125" w:type="dxa"/>
        <w:jc w:val="left"/>
        <w:tblInd w:w="0" w:type="dxa"/>
        <w:tblLayout w:type="fixed"/>
        <w:tblCellMar>
          <w:top w:w="0" w:type="dxa"/>
          <w:left w:w="0" w:type="dxa"/>
          <w:bottom w:w="0" w:type="dxa"/>
          <w:right w:w="0" w:type="dxa"/>
        </w:tblCellMar>
      </w:tblPr>
      <w:tblGrid>
        <w:gridCol w:w="2555"/>
        <w:gridCol w:w="60"/>
        <w:gridCol w:w="146"/>
        <w:gridCol w:w="1074"/>
        <w:gridCol w:w="290"/>
      </w:tblGrid>
      <w:tr>
        <w:trPr/>
        <w:tc>
          <w:tcPr>
            <w:tcW w:w="25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Year Ended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December 31,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290"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Change in valuation allowance</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(20.1</w:t>
            </w:r>
          </w:p>
        </w:tc>
        <w:tc>
          <w:tcPr>
            <w:tcW w:w="2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55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Stock Options</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w:t>
            </w:r>
          </w:p>
        </w:tc>
        <w:tc>
          <w:tcPr>
            <w:tcW w:w="2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5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Uncertain Tax Positions</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w:t>
            </w:r>
          </w:p>
        </w:tc>
        <w:tc>
          <w:tcPr>
            <w:tcW w:w="2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55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Prior Year True Ups</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w:t>
            </w:r>
          </w:p>
        </w:tc>
        <w:tc>
          <w:tcPr>
            <w:tcW w:w="2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5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Other Nondeductible</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w:t>
            </w:r>
          </w:p>
        </w:tc>
        <w:tc>
          <w:tcPr>
            <w:tcW w:w="290"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 xml:space="preserve">%) </w:t>
            </w:r>
          </w:p>
        </w:tc>
      </w:tr>
      <w:tr>
        <w:trPr/>
        <w:tc>
          <w:tcPr>
            <w:tcW w:w="255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Effective tax rate</w:t>
            </w:r>
          </w:p>
          <w:p>
            <w:pPr>
              <w:pStyle w:val="TableContents"/>
              <w:bidi w:val="0"/>
              <w:spacing w:before="0" w:after="0"/>
              <w:jc w:val="left"/>
              <w:rPr>
                <w:rFonts w:ascii="Times New Roman" w:hAnsi="Times New Roman"/>
                <w:sz w:val="20"/>
              </w:rPr>
            </w:pPr>
            <w:r>
              <w:rPr>
                <w:rFonts w:ascii="Times New Roman" w:hAnsi="Times New Roman"/>
                <w:sz w:val="20"/>
              </w:rPr>
              <w:t>Effective tax rate</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w:t>
            </w:r>
          </w:p>
        </w:tc>
        <w:tc>
          <w:tcPr>
            <w:tcW w:w="2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6" w:name="z7f4d15e2e3764fcba489f5b3afb93565"/>
      <w:bookmarkStart w:id="107" w:name="z7f4d15e2e3764fcba489f5b3afb93565"/>
      <w:bookmarkEnd w:id="107"/>
    </w:p>
    <w:tbl>
      <w:tblPr>
        <w:tblW w:w="4000" w:type="dxa"/>
        <w:jc w:val="left"/>
        <w:tblInd w:w="0" w:type="dxa"/>
        <w:tblLayout w:type="fixed"/>
        <w:tblCellMar>
          <w:top w:w="0" w:type="dxa"/>
          <w:left w:w="0" w:type="dxa"/>
          <w:bottom w:w="0" w:type="dxa"/>
          <w:right w:w="0" w:type="dxa"/>
        </w:tblCellMar>
      </w:tblPr>
      <w:tblGrid>
        <w:gridCol w:w="125"/>
        <w:gridCol w:w="3875"/>
      </w:tblGrid>
      <w:tr>
        <w:trPr/>
        <w:tc>
          <w:tcPr>
            <w:tcW w:w="12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Global Intangible Low-Taxed Income, or GILTI</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Deferred income taxes reflect the net tax effects of temporary differences between the carrying amount of assets and liabilities for financial reporting purposes and the amounts used for income tax purposes. Significant components of the Company’s deferred tax assets and liabilities as of December 31, 2025, are shown below. The Company has established a valuation allowance against net deferred tax assets due to the uncertainty that such assets will be realized. The Company periodically evaluates the recoverability of the deferred assets. At such time as it is determined that it is more likely than not that the deferred tax asset will be realized, the valuation allowance will be reduced.</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08" w:name="z4a0598967fdf4fc9bb3da5b3560b793f"/>
      <w:bookmarkStart w:id="109" w:name="z4a0598967fdf4fc9bb3da5b3560b793f"/>
      <w:bookmarkEnd w:id="109"/>
    </w:p>
    <w:tbl>
      <w:tblPr>
        <w:tblW w:w="4229" w:type="dxa"/>
        <w:jc w:val="left"/>
        <w:tblInd w:w="0" w:type="dxa"/>
        <w:tblLayout w:type="fixed"/>
        <w:tblCellMar>
          <w:top w:w="0" w:type="dxa"/>
          <w:left w:w="0" w:type="dxa"/>
          <w:bottom w:w="0" w:type="dxa"/>
          <w:right w:w="0" w:type="dxa"/>
        </w:tblCellMar>
      </w:tblPr>
      <w:tblGrid>
        <w:gridCol w:w="2870"/>
        <w:gridCol w:w="60"/>
        <w:gridCol w:w="196"/>
        <w:gridCol w:w="1023"/>
        <w:gridCol w:w="80"/>
      </w:tblGrid>
      <w:tr>
        <w:trPr/>
        <w:tc>
          <w:tcPr>
            <w:tcW w:w="28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December 31,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0"/>
              <w:ind w:left="324" w:right="0" w:hanging="324"/>
              <w:jc w:val="left"/>
              <w:rPr>
                <w:rFonts w:ascii="Times New Roman" w:hAnsi="Times New Roman"/>
                <w:color w:val="000000"/>
                <w:sz w:val="20"/>
              </w:rPr>
            </w:pPr>
            <w:r>
              <w:rPr>
                <w:rFonts w:ascii="Times New Roman" w:hAnsi="Times New Roman"/>
                <w:color w:val="000000"/>
                <w:sz w:val="20"/>
              </w:rPr>
              <w:t>Deferred tax assets:</w:t>
            </w:r>
          </w:p>
        </w:tc>
        <w:tc>
          <w:tcPr>
            <w:tcW w:w="60" w:type="dxa"/>
            <w:tcBorders/>
            <w:vAlign w:val="bottom"/>
          </w:tcPr>
          <w:p>
            <w:pPr>
              <w:pStyle w:val="TableContents"/>
              <w:bidi w:val="0"/>
              <w:spacing w:before="0" w:after="283"/>
              <w:jc w:val="left"/>
              <w:rPr/>
            </w:pPr>
            <w:r>
              <w:rPr/>
              <w:t> </w:t>
            </w:r>
          </w:p>
        </w:tc>
        <w:tc>
          <w:tcPr>
            <w:tcW w:w="1219"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2870" w:type="dxa"/>
            <w:tcBorders/>
            <w:shd w:fill="CCEEFF" w:val="clear"/>
            <w:vAlign w:val="bottom"/>
          </w:tcPr>
          <w:p>
            <w:pPr>
              <w:pStyle w:val="TableContents"/>
              <w:bidi w:val="0"/>
              <w:spacing w:before="0" w:after="0"/>
              <w:ind w:left="324" w:right="0" w:hanging="324"/>
              <w:jc w:val="left"/>
              <w:rPr>
                <w:rFonts w:ascii="Times New Roman" w:hAnsi="Times New Roman"/>
                <w:color w:val="000000"/>
                <w:sz w:val="20"/>
              </w:rPr>
            </w:pPr>
            <w:r>
              <w:rPr>
                <w:rFonts w:ascii="Times New Roman" w:hAnsi="Times New Roman"/>
                <w:color w:val="000000"/>
                <w:sz w:val="20"/>
              </w:rPr>
              <w:t>Net Operating Losses</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13,679</w:t>
            </w:r>
          </w:p>
        </w:tc>
        <w:tc>
          <w:tcPr>
            <w:tcW w:w="80"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0"/>
              <w:ind w:left="324" w:right="0" w:hanging="324"/>
              <w:jc w:val="left"/>
              <w:rPr>
                <w:rFonts w:ascii="Times New Roman" w:hAnsi="Times New Roman"/>
                <w:color w:val="000000"/>
                <w:sz w:val="20"/>
              </w:rPr>
            </w:pPr>
            <w:r>
              <w:rPr>
                <w:rFonts w:ascii="Times New Roman" w:hAnsi="Times New Roman"/>
                <w:color w:val="000000"/>
                <w:sz w:val="20"/>
              </w:rPr>
              <w:t>Capitalized R&amp;D</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3,047</w:t>
            </w:r>
          </w:p>
        </w:tc>
        <w:tc>
          <w:tcPr>
            <w:tcW w:w="80" w:type="dxa"/>
            <w:tcBorders/>
            <w:vAlign w:val="bottom"/>
          </w:tcPr>
          <w:p>
            <w:pPr>
              <w:pStyle w:val="TableContents"/>
              <w:bidi w:val="0"/>
              <w:spacing w:before="0" w:after="283"/>
              <w:jc w:val="left"/>
              <w:rPr/>
            </w:pPr>
            <w:r>
              <w:rPr/>
              <w:t> </w:t>
            </w:r>
          </w:p>
        </w:tc>
      </w:tr>
      <w:tr>
        <w:trPr/>
        <w:tc>
          <w:tcPr>
            <w:tcW w:w="2870" w:type="dxa"/>
            <w:tcBorders/>
            <w:shd w:fill="CCEEFF" w:val="clear"/>
            <w:vAlign w:val="bottom"/>
          </w:tcPr>
          <w:p>
            <w:pPr>
              <w:pStyle w:val="TableContents"/>
              <w:bidi w:val="0"/>
              <w:spacing w:before="0" w:after="0"/>
              <w:ind w:left="324" w:right="0" w:hanging="324"/>
              <w:jc w:val="left"/>
              <w:rPr>
                <w:rFonts w:ascii="Times New Roman" w:hAnsi="Times New Roman"/>
                <w:color w:val="000000"/>
                <w:sz w:val="20"/>
              </w:rPr>
            </w:pPr>
            <w:r>
              <w:rPr>
                <w:rFonts w:ascii="Times New Roman" w:hAnsi="Times New Roman"/>
                <w:color w:val="000000"/>
                <w:sz w:val="20"/>
              </w:rPr>
              <w:t>Research and Development Credits</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w:t>
            </w:r>
          </w:p>
        </w:tc>
        <w:tc>
          <w:tcPr>
            <w:tcW w:w="80"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0"/>
              <w:ind w:left="324" w:right="0" w:hanging="324"/>
              <w:jc w:val="left"/>
              <w:rPr>
                <w:rFonts w:ascii="Times New Roman" w:hAnsi="Times New Roman"/>
                <w:color w:val="000000"/>
                <w:sz w:val="20"/>
              </w:rPr>
            </w:pPr>
            <w:r>
              <w:rPr>
                <w:rFonts w:ascii="Times New Roman" w:hAnsi="Times New Roman"/>
                <w:color w:val="000000"/>
                <w:sz w:val="20"/>
              </w:rPr>
              <w:t>Deferred Revenue</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191</w:t>
            </w:r>
          </w:p>
        </w:tc>
        <w:tc>
          <w:tcPr>
            <w:tcW w:w="80" w:type="dxa"/>
            <w:tcBorders/>
            <w:vAlign w:val="bottom"/>
          </w:tcPr>
          <w:p>
            <w:pPr>
              <w:pStyle w:val="TableContents"/>
              <w:bidi w:val="0"/>
              <w:spacing w:before="0" w:after="283"/>
              <w:jc w:val="left"/>
              <w:rPr/>
            </w:pPr>
            <w:r>
              <w:rPr/>
              <w:t> </w:t>
            </w:r>
          </w:p>
        </w:tc>
      </w:tr>
      <w:tr>
        <w:trPr/>
        <w:tc>
          <w:tcPr>
            <w:tcW w:w="2870" w:type="dxa"/>
            <w:tcBorders/>
            <w:shd w:fill="CCEEFF" w:val="clear"/>
            <w:vAlign w:val="bottom"/>
          </w:tcPr>
          <w:p>
            <w:pPr>
              <w:pStyle w:val="TableContents"/>
              <w:bidi w:val="0"/>
              <w:spacing w:before="0" w:after="0"/>
              <w:ind w:left="324" w:right="0" w:hanging="324"/>
              <w:jc w:val="left"/>
              <w:rPr>
                <w:rFonts w:ascii="Times New Roman" w:hAnsi="Times New Roman"/>
                <w:color w:val="000000"/>
                <w:sz w:val="20"/>
              </w:rPr>
            </w:pPr>
            <w:r>
              <w:rPr>
                <w:rFonts w:ascii="Times New Roman" w:hAnsi="Times New Roman"/>
                <w:color w:val="000000"/>
                <w:sz w:val="20"/>
              </w:rPr>
              <w:t>Stock Options</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w:t>
            </w:r>
          </w:p>
        </w:tc>
        <w:tc>
          <w:tcPr>
            <w:tcW w:w="80"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0"/>
              <w:ind w:left="324" w:right="0" w:hanging="324"/>
              <w:jc w:val="left"/>
              <w:rPr>
                <w:rFonts w:ascii="Times New Roman" w:hAnsi="Times New Roman"/>
                <w:color w:val="000000"/>
                <w:sz w:val="20"/>
              </w:rPr>
            </w:pPr>
            <w:r>
              <w:rPr>
                <w:rFonts w:ascii="Times New Roman" w:hAnsi="Times New Roman"/>
                <w:color w:val="000000"/>
                <w:sz w:val="20"/>
              </w:rPr>
              <w:t>Lease Liability</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520</w:t>
            </w:r>
          </w:p>
        </w:tc>
        <w:tc>
          <w:tcPr>
            <w:tcW w:w="80" w:type="dxa"/>
            <w:tcBorders/>
            <w:vAlign w:val="bottom"/>
          </w:tcPr>
          <w:p>
            <w:pPr>
              <w:pStyle w:val="TableContents"/>
              <w:bidi w:val="0"/>
              <w:spacing w:before="0" w:after="283"/>
              <w:jc w:val="left"/>
              <w:rPr/>
            </w:pPr>
            <w:r>
              <w:rPr/>
              <w:t> </w:t>
            </w:r>
          </w:p>
        </w:tc>
      </w:tr>
      <w:tr>
        <w:trPr/>
        <w:tc>
          <w:tcPr>
            <w:tcW w:w="2870" w:type="dxa"/>
            <w:tcBorders/>
            <w:shd w:fill="CCEEFF" w:val="clear"/>
            <w:vAlign w:val="bottom"/>
          </w:tcPr>
          <w:p>
            <w:pPr>
              <w:pStyle w:val="TableContents"/>
              <w:bidi w:val="0"/>
              <w:spacing w:before="0" w:after="0"/>
              <w:ind w:left="324" w:right="0" w:hanging="324"/>
              <w:jc w:val="left"/>
              <w:rPr>
                <w:rFonts w:ascii="Times New Roman" w:hAnsi="Times New Roman"/>
                <w:color w:val="000000"/>
                <w:sz w:val="20"/>
              </w:rPr>
            </w:pPr>
            <w:r>
              <w:rPr>
                <w:rFonts w:ascii="Times New Roman" w:hAnsi="Times New Roman"/>
                <w:color w:val="000000"/>
                <w:sz w:val="20"/>
              </w:rPr>
              <w:t>Accruals</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w:t>
            </w:r>
          </w:p>
        </w:tc>
        <w:tc>
          <w:tcPr>
            <w:tcW w:w="80"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0"/>
              <w:ind w:left="324" w:right="0" w:hanging="324"/>
              <w:jc w:val="left"/>
              <w:rPr>
                <w:rFonts w:ascii="Times New Roman" w:hAnsi="Times New Roman"/>
                <w:color w:val="000000"/>
                <w:sz w:val="20"/>
              </w:rPr>
            </w:pPr>
            <w:r>
              <w:rPr>
                <w:rFonts w:ascii="Times New Roman" w:hAnsi="Times New Roman"/>
                <w:color w:val="000000"/>
                <w:sz w:val="20"/>
              </w:rPr>
              <w:t>Depreciation</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w:t>
            </w:r>
          </w:p>
        </w:tc>
        <w:tc>
          <w:tcPr>
            <w:tcW w:w="80" w:type="dxa"/>
            <w:tcBorders/>
            <w:vAlign w:val="bottom"/>
          </w:tcPr>
          <w:p>
            <w:pPr>
              <w:pStyle w:val="TableContents"/>
              <w:bidi w:val="0"/>
              <w:spacing w:before="0" w:after="283"/>
              <w:jc w:val="left"/>
              <w:rPr/>
            </w:pPr>
            <w:r>
              <w:rPr/>
              <w:t> </w:t>
            </w:r>
          </w:p>
        </w:tc>
      </w:tr>
      <w:tr>
        <w:trPr/>
        <w:tc>
          <w:tcPr>
            <w:tcW w:w="2870" w:type="dxa"/>
            <w:tcBorders/>
            <w:shd w:fill="CCEEFF" w:val="clear"/>
            <w:vAlign w:val="bottom"/>
          </w:tcPr>
          <w:p>
            <w:pPr>
              <w:pStyle w:val="TableContents"/>
              <w:bidi w:val="0"/>
              <w:spacing w:before="0" w:after="0"/>
              <w:ind w:left="324" w:right="0" w:hanging="324"/>
              <w:jc w:val="left"/>
              <w:rPr>
                <w:rFonts w:ascii="Times New Roman" w:hAnsi="Times New Roman"/>
                <w:color w:val="000000"/>
                <w:sz w:val="20"/>
              </w:rPr>
            </w:pPr>
            <w:r>
              <w:rPr>
                <w:rFonts w:ascii="Times New Roman" w:hAnsi="Times New Roman"/>
                <w:color w:val="000000"/>
                <w:sz w:val="20"/>
              </w:rPr>
              <w:t>Total gross deferred tax assets</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17,923</w:t>
            </w:r>
          </w:p>
        </w:tc>
        <w:tc>
          <w:tcPr>
            <w:tcW w:w="80"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0"/>
              <w:ind w:left="324" w:right="0" w:hanging="324"/>
              <w:jc w:val="left"/>
              <w:rPr>
                <w:rFonts w:ascii="Times New Roman" w:hAnsi="Times New Roman"/>
                <w:color w:val="000000"/>
                <w:sz w:val="20"/>
              </w:rPr>
            </w:pPr>
            <w:r>
              <w:rPr>
                <w:rFonts w:ascii="Times New Roman" w:hAnsi="Times New Roman"/>
                <w:color w:val="000000"/>
                <w:sz w:val="20"/>
              </w:rPr>
              <w:t>Less: Valuation allowance</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(17,408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870" w:type="dxa"/>
            <w:tcBorders/>
            <w:shd w:fill="CCEEFF" w:val="clear"/>
            <w:vAlign w:val="bottom"/>
          </w:tcPr>
          <w:p>
            <w:pPr>
              <w:pStyle w:val="TableContents"/>
              <w:bidi w:val="0"/>
              <w:spacing w:before="0" w:after="0"/>
              <w:ind w:left="324" w:right="0" w:hanging="324"/>
              <w:jc w:val="left"/>
              <w:rPr>
                <w:rFonts w:ascii="Times New Roman" w:hAnsi="Times New Roman"/>
                <w:color w:val="000000"/>
                <w:sz w:val="20"/>
              </w:rPr>
            </w:pPr>
            <w:r>
              <w:rPr>
                <w:rFonts w:ascii="Times New Roman" w:hAnsi="Times New Roman"/>
                <w:color w:val="000000"/>
                <w:sz w:val="20"/>
              </w:rPr>
              <w:t>Deferred tax assets, net</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515</w:t>
            </w:r>
          </w:p>
        </w:tc>
        <w:tc>
          <w:tcPr>
            <w:tcW w:w="80"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0"/>
              <w:ind w:left="324" w:right="0" w:hanging="324"/>
              <w:jc w:val="left"/>
              <w:rPr>
                <w:rFonts w:ascii="Times New Roman" w:hAnsi="Times New Roman"/>
                <w:color w:val="000000"/>
                <w:sz w:val="20"/>
              </w:rPr>
            </w:pPr>
            <w:r>
              <w:rPr>
                <w:rFonts w:ascii="Times New Roman" w:hAnsi="Times New Roman"/>
                <w:color w:val="000000"/>
                <w:sz w:val="20"/>
              </w:rPr>
              <w:t>Deferred tax liabilities:</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2870" w:type="dxa"/>
            <w:tcBorders/>
            <w:shd w:fill="CCEEFF" w:val="clear"/>
            <w:vAlign w:val="bottom"/>
          </w:tcPr>
          <w:p>
            <w:pPr>
              <w:pStyle w:val="TableContents"/>
              <w:bidi w:val="0"/>
              <w:spacing w:before="0" w:after="0"/>
              <w:ind w:left="324" w:right="0" w:hanging="324"/>
              <w:jc w:val="left"/>
              <w:rPr>
                <w:rFonts w:ascii="Times New Roman" w:hAnsi="Times New Roman"/>
                <w:color w:val="000000"/>
                <w:sz w:val="20"/>
              </w:rPr>
            </w:pPr>
            <w:r>
              <w:rPr>
                <w:rFonts w:ascii="Times New Roman" w:hAnsi="Times New Roman"/>
                <w:color w:val="000000"/>
                <w:sz w:val="20"/>
              </w:rPr>
              <w:t>Right of Use Asset</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870" w:type="dxa"/>
            <w:tcBorders/>
            <w:vAlign w:val="bottom"/>
          </w:tcPr>
          <w:p>
            <w:pPr>
              <w:pStyle w:val="TableContents"/>
              <w:bidi w:val="0"/>
              <w:spacing w:before="0" w:after="0"/>
              <w:ind w:left="324" w:right="0" w:hanging="324"/>
              <w:jc w:val="left"/>
              <w:rPr>
                <w:rFonts w:ascii="Times New Roman" w:hAnsi="Times New Roman"/>
                <w:color w:val="000000"/>
                <w:sz w:val="20"/>
              </w:rPr>
            </w:pPr>
            <w:r>
              <w:rPr>
                <w:rFonts w:ascii="Times New Roman" w:hAnsi="Times New Roman"/>
                <w:color w:val="000000"/>
                <w:sz w:val="20"/>
              </w:rPr>
              <w:t>Total gross deferred tax liabilities</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870" w:type="dxa"/>
            <w:tcBorders/>
            <w:shd w:fill="CCEEFF" w:val="clear"/>
            <w:vAlign w:val="bottom"/>
          </w:tcPr>
          <w:p>
            <w:pPr>
              <w:pStyle w:val="TableContents"/>
              <w:bidi w:val="0"/>
              <w:spacing w:before="0" w:after="0"/>
              <w:ind w:left="324" w:right="0" w:hanging="324"/>
              <w:jc w:val="left"/>
              <w:rPr>
                <w:rFonts w:ascii="Times New Roman" w:hAnsi="Times New Roman"/>
                <w:color w:val="000000"/>
                <w:sz w:val="20"/>
              </w:rPr>
            </w:pPr>
            <w:r>
              <w:rPr>
                <w:rFonts w:ascii="Times New Roman" w:hAnsi="Times New Roman"/>
                <w:color w:val="000000"/>
                <w:sz w:val="20"/>
              </w:rPr>
              <w:t>Net deferred tax assets</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 December 31, 2025, a valuation allowance of $17,408 has been established to offset the deferred tax assets, as realization of such assets is not more likely than not.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December 31, 2025, the Company has federal net operating loss carryforwards of $7,068. The Company has foreign net operating loss carryforwards of $72,834 of which $72,830 were generated in China beginning in 2018 and have a carryforward period of 10 years and $4 were generated in Australia beginning in 2024 and have an unlimited carryforward period. The Company had state loss carryforwards of $18,118, which will begin to expire in 2038, if not previously utilized.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has $100 remaining federal research and development credit carryforwards beginning in 2019 and has a 20-year carryforward period. The Company has state research and development credit carryforwards of approximately $326. The state research and development tax credit carryforwards may be carried forward indefinitely.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Pursuant to Internal Revenue Code Sections 382 and 383, annual use of the Company’s net operating loss and research and development tax credit carryforwards may be limited in the event a cumulative change in ownership of more than 50% occurs within a three-year period. If eliminated, the related asset would be removed from the deferred tax asset schedule with a corresponding reduction in the valuation allowance. Due to the existence of the valuation allowance, limitations created by future ownership changes, if any, will not impact the Company’s effective tax rate. The Company has completed a Section 382 analysis to assess whether an ownership change has occurred or whether there have been multiple ownership changes since the Company’s formation and determined the Company experience an ownership change. The ownership change did not materially impact the Company’s deferred tax assets.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recognizes a tax benefit from an uncertain tax position when it is more likely than not that the position will be sustained upon examination, including resolutions of any related appeals or litigation processes, based on the technical merits, and uncertain income tax positions must meet a more likely than not recognition threshold to be recognized. The Company recognizes interest and penalties related to unrecognized tax benefits within the income tax expense line in the consolidated statements of operations. As of December 31, 2025, the Company accrued immaterial interest and penalties.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summarizes the changes to the Company’s gross unrecognized tax benefits: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10" w:name="za5b027250dbd4492aca7760e5949fd50"/>
      <w:bookmarkStart w:id="111" w:name="za5b027250dbd4492aca7760e5949fd50"/>
      <w:bookmarkEnd w:id="111"/>
    </w:p>
    <w:tbl>
      <w:tblPr>
        <w:tblW w:w="4680" w:type="dxa"/>
        <w:jc w:val="left"/>
        <w:tblInd w:w="0" w:type="dxa"/>
        <w:tblLayout w:type="fixed"/>
        <w:tblCellMar>
          <w:top w:w="0" w:type="dxa"/>
          <w:left w:w="0" w:type="dxa"/>
          <w:bottom w:w="0" w:type="dxa"/>
          <w:right w:w="0" w:type="dxa"/>
        </w:tblCellMar>
      </w:tblPr>
      <w:tblGrid>
        <w:gridCol w:w="3320"/>
        <w:gridCol w:w="60"/>
        <w:gridCol w:w="331"/>
        <w:gridCol w:w="889"/>
        <w:gridCol w:w="80"/>
      </w:tblGrid>
      <w:tr>
        <w:trPr/>
        <w:tc>
          <w:tcPr>
            <w:tcW w:w="3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Year Ended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December 31, </w:t>
              <w:br/>
              <w:t xml:space="preserve">2025 </w:t>
            </w:r>
          </w:p>
        </w:tc>
        <w:tc>
          <w:tcPr>
            <w:tcW w:w="80"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Balance at beginning of year</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209</w:t>
            </w:r>
          </w:p>
        </w:tc>
        <w:tc>
          <w:tcPr>
            <w:tcW w:w="80"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Reductions for tax positions - prior years</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w:t>
            </w:r>
          </w:p>
        </w:tc>
        <w:tc>
          <w:tcPr>
            <w:tcW w:w="8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2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Additions for tax positions - current year</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w:t>
            </w:r>
          </w:p>
        </w:tc>
        <w:tc>
          <w:tcPr>
            <w:tcW w:w="80"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Balance at the end of the year</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11. Net Loss Per Share</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presents the calculation of basic and diluted net loss per share attributable to common stockholders: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12" w:name="z38e8b504b2da4efe8a8901c097687625"/>
      <w:bookmarkStart w:id="113" w:name="z38e8b504b2da4efe8a8901c097687625"/>
      <w:bookmarkEnd w:id="113"/>
    </w:p>
    <w:tbl>
      <w:tblPr>
        <w:tblW w:w="7410" w:type="dxa"/>
        <w:jc w:val="left"/>
        <w:tblInd w:w="0" w:type="dxa"/>
        <w:tblLayout w:type="fixed"/>
        <w:tblCellMar>
          <w:top w:w="0" w:type="dxa"/>
          <w:left w:w="0" w:type="dxa"/>
          <w:bottom w:w="0" w:type="dxa"/>
          <w:right w:w="0" w:type="dxa"/>
        </w:tblCellMar>
      </w:tblPr>
      <w:tblGrid>
        <w:gridCol w:w="6005"/>
        <w:gridCol w:w="60"/>
        <w:gridCol w:w="141"/>
        <w:gridCol w:w="1079"/>
        <w:gridCol w:w="125"/>
      </w:tblGrid>
      <w:tr>
        <w:trPr/>
        <w:tc>
          <w:tcPr>
            <w:tcW w:w="60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Year Ended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December 31,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2025 </w:t>
            </w:r>
          </w:p>
        </w:tc>
        <w:tc>
          <w:tcPr>
            <w:tcW w:w="125" w:type="dxa"/>
            <w:tcBorders/>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Numerator:</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(10,805</w:t>
            </w:r>
          </w:p>
        </w:tc>
        <w:tc>
          <w:tcPr>
            <w:tcW w:w="12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 xml:space="preserve">) </w:t>
            </w:r>
          </w:p>
        </w:tc>
      </w:tr>
      <w:tr>
        <w:trPr/>
        <w:tc>
          <w:tcPr>
            <w:tcW w:w="600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Accretion of redeemable convertible preferred stock</w:t>
            </w:r>
          </w:p>
        </w:tc>
        <w:tc>
          <w:tcPr>
            <w:tcW w:w="60"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(14,801</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00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60" w:type="dxa"/>
            <w:tcBorders/>
            <w:shd w:fill="CCEEFF" w:val="clear"/>
            <w:vAlign w:val="bottom"/>
          </w:tcPr>
          <w:p>
            <w:pPr>
              <w:pStyle w:val="TableContents"/>
              <w:bidi w:val="0"/>
              <w:spacing w:before="0" w:after="283"/>
              <w:jc w:val="lef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(25,606</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00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Denominator:</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Weighted-average common stock outstanding - basic and diluted</w:t>
            </w:r>
          </w:p>
        </w:tc>
        <w:tc>
          <w:tcPr>
            <w:tcW w:w="60" w:type="dxa"/>
            <w:tcBorders/>
            <w:shd w:fill="CCEEFF" w:val="clear"/>
            <w:vAlign w:val="bottom"/>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10,023,615</w:t>
            </w:r>
          </w:p>
        </w:tc>
        <w:tc>
          <w:tcPr>
            <w:tcW w:w="125"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loss per share attributable to common stockholders - basic and diluted</w:t>
            </w:r>
          </w:p>
        </w:tc>
        <w:tc>
          <w:tcPr>
            <w:tcW w:w="60" w:type="dxa"/>
            <w:tcBorders/>
            <w:vAlign w:val="bottom"/>
          </w:tcPr>
          <w:p>
            <w:pPr>
              <w:pStyle w:val="TableContents"/>
              <w:bidi w:val="0"/>
              <w:spacing w:before="0" w:after="283"/>
              <w:jc w:val="lef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(2.55</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 the year ended December 31, 2025, the effects of all outstanding redeemable convertible preferred stock and share options were excluded from the computation of diluted loss per share as their effects would be anti-dilutive.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12. Employee Benefits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has a defined contribution 401(k) plan for eligible employees. Eligible employees have the option to participate in the plan beginning on their date of hire. Under the terms of the plan, employees may make voluntary contributions as a percentage of their compensation or a flat dollar amount. Contributions to the matching program totaled $137 for the year ended December 31, 2025.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Full-time employees of the Company in the PRC are entitled to welfare benefits including pension insurance, medical insurance unemployment insurance, maternity insurance, on-the-job injury insurance, and housing fund plans through a PRC government-mandated defined contribution plan. Chinese labor regulations require that the Company makes contributions to the government for these benefits based on certain percentages of the employees’ salaries, up to a maximum amount specified by the local government. The Company has no legal obligation for the benefits beyond the contributions. Total contributions by the Company for such employee benefits were $1,364 for the year ended December 31, 2025.</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13. Segments Information</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primary measure of segment profitability for the Company’s operating segment is considered to be consolidated net loss which is used by the CODMs to monitor budget versus actual results to make operating decisions, such as allocating resources to the research and development activities. Significant segment expenses reviewed by the CODM on a regular basis are research and development expenses and general and administrative expenses. Other segment items include foreign currency exchange gain (loss), interest income, other operating income, net, other income, net and income tax expense.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sets forth the Company’s segment information for revenue, segment net loss, and significant expenses:</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14" w:name="z9ebd2565ed014b408a8d07fe91ac08e4"/>
      <w:bookmarkStart w:id="115" w:name="z9ebd2565ed014b408a8d07fe91ac08e4"/>
      <w:bookmarkEnd w:id="115"/>
    </w:p>
    <w:tbl>
      <w:tblPr>
        <w:tblW w:w="4305" w:type="dxa"/>
        <w:jc w:val="left"/>
        <w:tblInd w:w="0" w:type="dxa"/>
        <w:tblLayout w:type="fixed"/>
        <w:tblCellMar>
          <w:top w:w="0" w:type="dxa"/>
          <w:left w:w="0" w:type="dxa"/>
          <w:bottom w:w="0" w:type="dxa"/>
          <w:right w:w="0" w:type="dxa"/>
        </w:tblCellMar>
      </w:tblPr>
      <w:tblGrid>
        <w:gridCol w:w="2990"/>
        <w:gridCol w:w="60"/>
        <w:gridCol w:w="189"/>
        <w:gridCol w:w="986"/>
        <w:gridCol w:w="80"/>
      </w:tblGrid>
      <w:tr>
        <w:trPr/>
        <w:tc>
          <w:tcPr>
            <w:tcW w:w="29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Year Ended </w:t>
              <w:b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Collaboration revenue</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15,373</w:t>
            </w:r>
          </w:p>
        </w:tc>
        <w:tc>
          <w:tcPr>
            <w:tcW w:w="80" w:type="dxa"/>
            <w:tcBorders/>
            <w:shd w:fill="CCEEFF" w:val="clear"/>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Less (add):</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Research and development expenses</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19,330</w:t>
            </w:r>
          </w:p>
        </w:tc>
        <w:tc>
          <w:tcPr>
            <w:tcW w:w="80" w:type="dxa"/>
            <w:tcBorders/>
            <w:shd w:fill="CCEEFF" w:val="clear"/>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General and administrative expenses</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10,246</w:t>
            </w:r>
          </w:p>
        </w:tc>
        <w:tc>
          <w:tcPr>
            <w:tcW w:w="80"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Other segment items</w:t>
            </w:r>
          </w:p>
        </w:tc>
        <w:tc>
          <w:tcPr>
            <w:tcW w:w="60" w:type="dxa"/>
            <w:tcBorders/>
            <w:shd w:fill="CCEEFF" w:val="clear"/>
            <w:vAlign w:val="bottom"/>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(3,511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99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Segment net loss</w:t>
            </w:r>
          </w:p>
        </w:tc>
        <w:tc>
          <w:tcPr>
            <w:tcW w:w="60" w:type="dxa"/>
            <w:tcBorders/>
            <w:vAlign w:val="bottom"/>
          </w:tcPr>
          <w:p>
            <w:pPr>
              <w:pStyle w:val="TableContents"/>
              <w:bidi w:val="0"/>
              <w:spacing w:before="0" w:after="283"/>
              <w:jc w:val="left"/>
              <w:rPr/>
            </w:pPr>
            <w:r>
              <w:rPr/>
              <w:t> </w:t>
            </w:r>
          </w:p>
        </w:tc>
        <w:tc>
          <w:tcPr>
            <w:tcW w:w="189"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(10,692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990" w:type="dxa"/>
            <w:tcBorders/>
            <w:shd w:fill="CCEEFF" w:val="clear"/>
            <w:vAlign w:val="bottom"/>
          </w:tcPr>
          <w:p>
            <w:pPr>
              <w:pStyle w:val="TableContents"/>
              <w:bidi w:val="0"/>
              <w:spacing w:before="0" w:after="0"/>
              <w:ind w:left="180" w:right="0" w:hanging="180"/>
              <w:jc w:val="left"/>
              <w:rPr>
                <w:rFonts w:ascii="Times New Roman" w:hAnsi="Times New Roman"/>
                <w:i/>
                <w:color w:val="000000"/>
                <w:sz w:val="20"/>
              </w:rPr>
            </w:pPr>
            <w:r>
              <w:rPr>
                <w:rFonts w:ascii="Times New Roman" w:hAnsi="Times New Roman"/>
                <w:i/>
                <w:color w:val="000000"/>
                <w:sz w:val="20"/>
              </w:rPr>
              <w:t>Reconciliation of profit or loss</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Adjustments and reconciling items</w:t>
            </w:r>
          </w:p>
        </w:tc>
        <w:tc>
          <w:tcPr>
            <w:tcW w:w="60" w:type="dxa"/>
            <w:tcBorders/>
            <w:vAlign w:val="bottom"/>
          </w:tcPr>
          <w:p>
            <w:pPr>
              <w:pStyle w:val="TableContents"/>
              <w:bidi w:val="0"/>
              <w:spacing w:before="0" w:after="283"/>
              <w:jc w:val="left"/>
              <w:rPr/>
            </w:pPr>
            <w:r>
              <w:rPr/>
              <w:t> </w:t>
            </w:r>
          </w:p>
        </w:tc>
        <w:tc>
          <w:tcPr>
            <w:tcW w:w="189" w:type="dxa"/>
            <w:tcBorders>
              <w:bottom w:val="single" w:sz="12" w:space="0" w:color="000000"/>
            </w:tcBorders>
            <w:tcMar>
              <w:bottom w:w="28" w:type="dxa"/>
            </w:tcMar>
            <w:vAlign w:val="bottom"/>
          </w:tcPr>
          <w:p>
            <w:pPr>
              <w:pStyle w:val="TableContents"/>
              <w:bidi w:val="0"/>
              <w:spacing w:before="0" w:after="283"/>
              <w:jc w:val="left"/>
              <w:rPr/>
            </w:pPr>
            <w:r>
              <w:rPr/>
              <w:t> </w:t>
            </w:r>
          </w:p>
        </w:tc>
        <w:tc>
          <w:tcPr>
            <w:tcW w:w="98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Consolidated net loss</w:t>
            </w:r>
          </w:p>
        </w:tc>
        <w:tc>
          <w:tcPr>
            <w:tcW w:w="60" w:type="dxa"/>
            <w:tcBorders/>
            <w:shd w:fill="CCEEFF" w:val="clear"/>
            <w:vAlign w:val="bottom"/>
          </w:tcPr>
          <w:p>
            <w:pPr>
              <w:pStyle w:val="TableContents"/>
              <w:bidi w:val="0"/>
              <w:spacing w:before="0" w:after="283"/>
              <w:jc w:val="left"/>
              <w:rPr/>
            </w:pPr>
            <w:r>
              <w:rPr/>
              <w:t> </w:t>
            </w:r>
          </w:p>
        </w:tc>
        <w:tc>
          <w:tcPr>
            <w:tcW w:w="18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(10,692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Geographic Information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jc w:val="left"/>
        <w:rPr>
          <w:rFonts w:ascii="Times New Roman" w:hAnsi="Times New Roman"/>
          <w:color w:val="000000"/>
          <w:sz w:val="20"/>
        </w:rPr>
      </w:pPr>
      <w:r>
        <w:rPr>
          <w:rFonts w:ascii="Times New Roman" w:hAnsi="Times New Roman"/>
          <w:color w:val="000000"/>
          <w:sz w:val="20"/>
        </w:rPr>
        <w:t>Collaboration revenue consist of the following:</w:t>
      </w:r>
    </w:p>
    <w:p>
      <w:pPr>
        <w:pStyle w:val="Normal"/>
        <w:bidi w:val="0"/>
        <w:spacing w:before="0" w:after="0"/>
        <w:jc w:val="left"/>
        <w:rPr>
          <w:sz w:val="4"/>
          <w:szCs w:val="4"/>
        </w:rPr>
      </w:pPr>
      <w:r>
        <w:rPr>
          <w:sz w:val="4"/>
          <w:szCs w:val="4"/>
        </w:rPr>
      </w:r>
      <w:bookmarkStart w:id="116" w:name="z8332b370da314a80899a0d8b9eacb104"/>
      <w:bookmarkStart w:id="117" w:name="z8332b370da314a80899a0d8b9eacb104"/>
      <w:bookmarkEnd w:id="117"/>
    </w:p>
    <w:tbl>
      <w:tblPr>
        <w:tblW w:w="3190" w:type="dxa"/>
        <w:jc w:val="left"/>
        <w:tblInd w:w="0" w:type="dxa"/>
        <w:tblLayout w:type="fixed"/>
        <w:tblCellMar>
          <w:top w:w="0" w:type="dxa"/>
          <w:left w:w="0" w:type="dxa"/>
          <w:bottom w:w="0" w:type="dxa"/>
          <w:right w:w="0" w:type="dxa"/>
        </w:tblCellMar>
      </w:tblPr>
      <w:tblGrid>
        <w:gridCol w:w="1850"/>
        <w:gridCol w:w="60"/>
        <w:gridCol w:w="213"/>
        <w:gridCol w:w="1007"/>
        <w:gridCol w:w="60"/>
      </w:tblGrid>
      <w:tr>
        <w:trPr/>
        <w:tc>
          <w:tcPr>
            <w:tcW w:w="1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Year Ended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December 31,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Collaboration revenue</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 United States</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7,305</w:t>
            </w:r>
          </w:p>
        </w:tc>
        <w:tc>
          <w:tcPr>
            <w:tcW w:w="60"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 China</w:t>
            </w:r>
          </w:p>
        </w:tc>
        <w:tc>
          <w:tcPr>
            <w:tcW w:w="60"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8,068</w:t>
            </w:r>
          </w:p>
        </w:tc>
        <w:tc>
          <w:tcPr>
            <w:tcW w:w="60"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left"/>
              <w:rPr/>
            </w:pPr>
            <w:r>
              <w:rPr/>
              <w:t> </w:t>
            </w:r>
          </w:p>
        </w:tc>
        <w:tc>
          <w:tcPr>
            <w:tcW w:w="21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15,373</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Long-lived assets consist of the following:</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18" w:name="z9ab642c317034df3931becdaccd97588"/>
      <w:bookmarkStart w:id="119" w:name="z9ab642c317034df3931becdaccd97588"/>
      <w:bookmarkEnd w:id="119"/>
    </w:p>
    <w:tbl>
      <w:tblPr>
        <w:tblW w:w="2784" w:type="dxa"/>
        <w:jc w:val="left"/>
        <w:tblInd w:w="0" w:type="dxa"/>
        <w:tblLayout w:type="fixed"/>
        <w:tblCellMar>
          <w:top w:w="0" w:type="dxa"/>
          <w:left w:w="0" w:type="dxa"/>
          <w:bottom w:w="0" w:type="dxa"/>
          <w:right w:w="0" w:type="dxa"/>
        </w:tblCellMar>
      </w:tblPr>
      <w:tblGrid>
        <w:gridCol w:w="1445"/>
        <w:gridCol w:w="60"/>
        <w:gridCol w:w="249"/>
        <w:gridCol w:w="970"/>
        <w:gridCol w:w="60"/>
      </w:tblGrid>
      <w:tr>
        <w:trPr/>
        <w:tc>
          <w:tcPr>
            <w:tcW w:w="1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December 31,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r>
      <w:tr>
        <w:trPr/>
        <w:tc>
          <w:tcPr>
            <w:tcW w:w="14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Long-lived assets</w:t>
            </w:r>
          </w:p>
        </w:tc>
        <w:tc>
          <w:tcPr>
            <w:tcW w:w="60" w:type="dxa"/>
            <w:tcBorders/>
            <w:vAlign w:val="bottom"/>
          </w:tcPr>
          <w:p>
            <w:pPr>
              <w:pStyle w:val="TableContents"/>
              <w:bidi w:val="0"/>
              <w:spacing w:before="0" w:after="283"/>
              <w:jc w:val="left"/>
              <w:rPr/>
            </w:pPr>
            <w:r>
              <w:rPr/>
              <w:t> </w:t>
            </w:r>
          </w:p>
        </w:tc>
        <w:tc>
          <w:tcPr>
            <w:tcW w:w="121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 United States</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1,269</w:t>
            </w:r>
          </w:p>
        </w:tc>
        <w:tc>
          <w:tcPr>
            <w:tcW w:w="60" w:type="dxa"/>
            <w:tcBorders/>
            <w:shd w:fill="CCEEFF" w:val="clear"/>
            <w:vAlign w:val="bottom"/>
          </w:tcPr>
          <w:p>
            <w:pPr>
              <w:pStyle w:val="TableContents"/>
              <w:bidi w:val="0"/>
              <w:spacing w:before="0" w:after="283"/>
              <w:jc w:val="left"/>
              <w:rPr/>
            </w:pPr>
            <w:r>
              <w:rPr/>
              <w:t> </w:t>
            </w:r>
          </w:p>
        </w:tc>
      </w:tr>
      <w:tr>
        <w:trPr/>
        <w:tc>
          <w:tcPr>
            <w:tcW w:w="14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 China</w:t>
            </w:r>
          </w:p>
        </w:tc>
        <w:tc>
          <w:tcPr>
            <w:tcW w:w="60" w:type="dxa"/>
            <w:tcBorders/>
            <w:vAlign w:val="bottom"/>
          </w:tcPr>
          <w:p>
            <w:pPr>
              <w:pStyle w:val="TableContents"/>
              <w:bidi w:val="0"/>
              <w:spacing w:before="0" w:after="283"/>
              <w:jc w:val="left"/>
              <w:rPr/>
            </w:pPr>
            <w:r>
              <w:rPr/>
              <w:t> </w:t>
            </w:r>
          </w:p>
        </w:tc>
        <w:tc>
          <w:tcPr>
            <w:tcW w:w="249"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5,369</w:t>
            </w:r>
          </w:p>
        </w:tc>
        <w:tc>
          <w:tcPr>
            <w:tcW w:w="60" w:type="dxa"/>
            <w:tcBorders/>
            <w:vAlign w:val="bottom"/>
          </w:tcPr>
          <w:p>
            <w:pPr>
              <w:pStyle w:val="TableContents"/>
              <w:bidi w:val="0"/>
              <w:spacing w:before="0" w:after="283"/>
              <w:jc w:val="left"/>
              <w:rPr/>
            </w:pPr>
            <w:r>
              <w:rPr/>
              <w:t> </w:t>
            </w:r>
          </w:p>
        </w:tc>
      </w:tr>
      <w:tr>
        <w:trPr/>
        <w:tc>
          <w:tcPr>
            <w:tcW w:w="14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left"/>
              <w:rPr/>
            </w:pPr>
            <w:r>
              <w:rPr/>
              <w:t> </w:t>
            </w:r>
          </w:p>
        </w:tc>
        <w:tc>
          <w:tcPr>
            <w:tcW w:w="24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6,638</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14. Related Party Transactions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related parties that had transactions or balances with the Company for the year ended December 31, 2025 are as follows: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20" w:name="zc4c257b592e842ff9b233d7e554ebcd1"/>
      <w:bookmarkStart w:id="121" w:name="zc4c257b592e842ff9b233d7e554ebcd1"/>
      <w:bookmarkEnd w:id="121"/>
    </w:p>
    <w:tbl>
      <w:tblPr>
        <w:tblW w:w="6210" w:type="dxa"/>
        <w:jc w:val="left"/>
        <w:tblInd w:w="0" w:type="dxa"/>
        <w:tblLayout w:type="fixed"/>
        <w:tblCellMar>
          <w:top w:w="0" w:type="dxa"/>
          <w:left w:w="0" w:type="dxa"/>
          <w:bottom w:w="0" w:type="dxa"/>
          <w:right w:w="0" w:type="dxa"/>
        </w:tblCellMar>
      </w:tblPr>
      <w:tblGrid>
        <w:gridCol w:w="3095"/>
        <w:gridCol w:w="140"/>
        <w:gridCol w:w="2975"/>
      </w:tblGrid>
      <w:tr>
        <w:trPr/>
        <w:tc>
          <w:tcPr>
            <w:tcW w:w="3095" w:type="dxa"/>
            <w:tcBorders/>
            <w:vAlign w:val="center"/>
          </w:tcPr>
          <w:p>
            <w:pPr>
              <w:pStyle w:val="TableContents"/>
              <w:bidi w:val="0"/>
              <w:spacing w:before="0" w:after="283"/>
              <w:jc w:val="left"/>
              <w:rPr>
                <w:sz w:val="20"/>
              </w:rPr>
            </w:pPr>
            <w:r>
              <w:rPr>
                <w:sz w:val="20"/>
              </w:rPr>
            </w:r>
          </w:p>
        </w:tc>
        <w:tc>
          <w:tcPr>
            <w:tcW w:w="140" w:type="dxa"/>
            <w:tcBorders/>
            <w:vAlign w:val="center"/>
          </w:tcPr>
          <w:p>
            <w:pPr>
              <w:pStyle w:val="TableContents"/>
              <w:bidi w:val="0"/>
              <w:spacing w:before="0" w:after="283"/>
              <w:jc w:val="left"/>
              <w:rPr>
                <w:sz w:val="20"/>
              </w:rPr>
            </w:pPr>
            <w:r>
              <w:rPr>
                <w:sz w:val="20"/>
              </w:rPr>
            </w:r>
          </w:p>
        </w:tc>
        <w:tc>
          <w:tcPr>
            <w:tcW w:w="2975" w:type="dxa"/>
            <w:tcBorders/>
            <w:vAlign w:val="center"/>
          </w:tcPr>
          <w:p>
            <w:pPr>
              <w:pStyle w:val="TableContents"/>
              <w:bidi w:val="0"/>
              <w:spacing w:before="0" w:after="283"/>
              <w:jc w:val="left"/>
              <w:rPr>
                <w:sz w:val="20"/>
              </w:rPr>
            </w:pPr>
            <w:r>
              <w:rPr>
                <w:sz w:val="20"/>
              </w:rPr>
            </w:r>
          </w:p>
        </w:tc>
      </w:tr>
      <w:tr>
        <w:trPr/>
        <w:tc>
          <w:tcPr>
            <w:tcW w:w="309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Name of Related Party</w:t>
            </w:r>
          </w:p>
        </w:tc>
        <w:tc>
          <w:tcPr>
            <w:tcW w:w="140" w:type="dxa"/>
            <w:tcBorders/>
            <w:vAlign w:val="center"/>
          </w:tcPr>
          <w:p>
            <w:pPr>
              <w:pStyle w:val="TableContents"/>
              <w:bidi w:val="0"/>
              <w:spacing w:before="0" w:after="0"/>
              <w:jc w:val="left"/>
              <w:rPr/>
            </w:pPr>
            <w:r>
              <w:rPr/>
              <w:t> </w:t>
            </w:r>
          </w:p>
        </w:tc>
        <w:tc>
          <w:tcPr>
            <w:tcW w:w="2975"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Relationship with the Company</w:t>
            </w:r>
          </w:p>
        </w:tc>
      </w:tr>
      <w:tr>
        <w:trPr/>
        <w:tc>
          <w:tcPr>
            <w:tcW w:w="30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Shanghai Genomics Technology, Ltd.</w:t>
            </w:r>
          </w:p>
        </w:tc>
        <w:tc>
          <w:tcPr>
            <w:tcW w:w="14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Entity controlled by GNI Group Ltd.</w:t>
            </w:r>
          </w:p>
        </w:tc>
      </w:tr>
      <w:tr>
        <w:trPr/>
        <w:tc>
          <w:tcPr>
            <w:tcW w:w="30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Shanghai Genomics, Inc.</w:t>
            </w:r>
          </w:p>
        </w:tc>
        <w:tc>
          <w:tcPr>
            <w:tcW w:w="140" w:type="dxa"/>
            <w:tcBorders/>
            <w:vAlign w:val="center"/>
          </w:tcPr>
          <w:p>
            <w:pPr>
              <w:pStyle w:val="TableContents"/>
              <w:bidi w:val="0"/>
              <w:spacing w:before="0" w:after="0"/>
              <w:jc w:val="left"/>
              <w:rPr/>
            </w:pPr>
            <w:r>
              <w:rPr/>
              <w:t> </w:t>
            </w:r>
          </w:p>
        </w:tc>
        <w:tc>
          <w:tcPr>
            <w:tcW w:w="29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Entity controlled by GNI Group Ltd.</w:t>
            </w:r>
          </w:p>
        </w:tc>
      </w:tr>
    </w:tbl>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(a) Related party transactions</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Research and development expenses for the related services received from related parties were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22" w:name="z77bdd6f326c041b1ab2fcef739fe6f49"/>
      <w:bookmarkStart w:id="123" w:name="z77bdd6f326c041b1ab2fcef739fe6f49"/>
      <w:bookmarkEnd w:id="123"/>
    </w:p>
    <w:tbl>
      <w:tblPr>
        <w:tblW w:w="4435" w:type="dxa"/>
        <w:jc w:val="left"/>
        <w:tblInd w:w="0" w:type="dxa"/>
        <w:tblLayout w:type="fixed"/>
        <w:tblCellMar>
          <w:top w:w="0" w:type="dxa"/>
          <w:left w:w="0" w:type="dxa"/>
          <w:bottom w:w="0" w:type="dxa"/>
          <w:right w:w="0" w:type="dxa"/>
        </w:tblCellMar>
      </w:tblPr>
      <w:tblGrid>
        <w:gridCol w:w="3095"/>
        <w:gridCol w:w="60"/>
        <w:gridCol w:w="331"/>
        <w:gridCol w:w="889"/>
        <w:gridCol w:w="60"/>
      </w:tblGrid>
      <w:tr>
        <w:trPr/>
        <w:tc>
          <w:tcPr>
            <w:tcW w:w="30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Year Ended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December 31,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2025 </w:t>
            </w:r>
          </w:p>
        </w:tc>
        <w:tc>
          <w:tcPr>
            <w:tcW w:w="60" w:type="dxa"/>
            <w:tcBorders/>
            <w:vAlign w:val="bottom"/>
          </w:tcPr>
          <w:p>
            <w:pPr>
              <w:pStyle w:val="TableContents"/>
              <w:bidi w:val="0"/>
              <w:spacing w:before="0" w:after="283"/>
              <w:jc w:val="left"/>
              <w:rPr/>
            </w:pPr>
            <w:r>
              <w:rPr/>
              <w:t> </w:t>
            </w:r>
          </w:p>
        </w:tc>
      </w:tr>
      <w:tr>
        <w:trPr/>
        <w:tc>
          <w:tcPr>
            <w:tcW w:w="309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Shanghai Genomics Technology, Ltd.</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186</w:t>
            </w:r>
          </w:p>
        </w:tc>
        <w:tc>
          <w:tcPr>
            <w:tcW w:w="60" w:type="dxa"/>
            <w:tcBorders/>
            <w:shd w:fill="CCEEFF" w:val="clear"/>
            <w:vAlign w:val="bottom"/>
          </w:tcPr>
          <w:p>
            <w:pPr>
              <w:pStyle w:val="TableContents"/>
              <w:bidi w:val="0"/>
              <w:spacing w:before="0" w:after="283"/>
              <w:jc w:val="left"/>
              <w:rPr/>
            </w:pPr>
            <w:r>
              <w:rPr/>
              <w:t> </w:t>
            </w:r>
          </w:p>
        </w:tc>
      </w:tr>
      <w:tr>
        <w:trPr/>
        <w:tc>
          <w:tcPr>
            <w:tcW w:w="309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Shanghai Genomics, Inc.</w:t>
            </w:r>
          </w:p>
        </w:tc>
        <w:tc>
          <w:tcPr>
            <w:tcW w:w="60" w:type="dxa"/>
            <w:tcBorders/>
            <w:vAlign w:val="bottom"/>
          </w:tcPr>
          <w:p>
            <w:pPr>
              <w:pStyle w:val="TableContents"/>
              <w:bidi w:val="0"/>
              <w:spacing w:before="0" w:after="283"/>
              <w:jc w:val="left"/>
              <w:rPr/>
            </w:pPr>
            <w:r>
              <w:rPr/>
              <w:t> </w:t>
            </w:r>
          </w:p>
        </w:tc>
        <w:tc>
          <w:tcPr>
            <w:tcW w:w="3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w:t>
            </w:r>
          </w:p>
        </w:tc>
        <w:tc>
          <w:tcPr>
            <w:tcW w:w="60" w:type="dxa"/>
            <w:tcBorders/>
            <w:vAlign w:val="bottom"/>
          </w:tcPr>
          <w:p>
            <w:pPr>
              <w:pStyle w:val="TableContents"/>
              <w:bidi w:val="0"/>
              <w:spacing w:before="0" w:after="283"/>
              <w:jc w:val="left"/>
              <w:rPr/>
            </w:pPr>
            <w:r>
              <w:rPr/>
              <w:t> </w:t>
            </w:r>
          </w:p>
        </w:tc>
      </w:tr>
      <w:tr>
        <w:trPr/>
        <w:tc>
          <w:tcPr>
            <w:tcW w:w="3095"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299</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Operating lease ROU assets and operating lease liabilities recognized for leases of offices from Shanghai Genomics, Inc. as of December 31, 2025 were as follows: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24" w:name="z4bc2650d319f4150b4f0fad55d3be346"/>
      <w:bookmarkStart w:id="125" w:name="z4bc2650d319f4150b4f0fad55d3be346"/>
      <w:bookmarkEnd w:id="125"/>
    </w:p>
    <w:tbl>
      <w:tblPr>
        <w:tblW w:w="4499" w:type="dxa"/>
        <w:jc w:val="left"/>
        <w:tblInd w:w="0" w:type="dxa"/>
        <w:tblLayout w:type="fixed"/>
        <w:tblCellMar>
          <w:top w:w="0" w:type="dxa"/>
          <w:left w:w="0" w:type="dxa"/>
          <w:bottom w:w="0" w:type="dxa"/>
          <w:right w:w="0" w:type="dxa"/>
        </w:tblCellMar>
      </w:tblPr>
      <w:tblGrid>
        <w:gridCol w:w="3140"/>
        <w:gridCol w:w="60"/>
        <w:gridCol w:w="227"/>
        <w:gridCol w:w="992"/>
        <w:gridCol w:w="80"/>
      </w:tblGrid>
      <w:tr>
        <w:trPr/>
        <w:tc>
          <w:tcPr>
            <w:tcW w:w="3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December 31,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r>
      <w:tr>
        <w:trPr/>
        <w:tc>
          <w:tcPr>
            <w:tcW w:w="3140"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1,296</w:t>
            </w:r>
          </w:p>
        </w:tc>
        <w:tc>
          <w:tcPr>
            <w:tcW w:w="80" w:type="dxa"/>
            <w:tcBorders/>
            <w:shd w:fill="CCEEFF" w:val="clear"/>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Operating lease liabilities, current</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140"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Operating lease liabilities, non-current</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related lease expense recognized from related parties included in “Research and development expenses” and “General and administrative expenses” in the consolidated statement of comprehensive loss were as follows: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26" w:name="z7aa0d6efcc9641d8b74e9937138c00e8"/>
      <w:bookmarkStart w:id="127" w:name="z7aa0d6efcc9641d8b74e9937138c00e8"/>
      <w:bookmarkEnd w:id="127"/>
    </w:p>
    <w:tbl>
      <w:tblPr>
        <w:tblW w:w="4410" w:type="dxa"/>
        <w:jc w:val="left"/>
        <w:tblInd w:w="0" w:type="dxa"/>
        <w:tblLayout w:type="fixed"/>
        <w:tblCellMar>
          <w:top w:w="0" w:type="dxa"/>
          <w:left w:w="0" w:type="dxa"/>
          <w:bottom w:w="0" w:type="dxa"/>
          <w:right w:w="0" w:type="dxa"/>
        </w:tblCellMar>
      </w:tblPr>
      <w:tblGrid>
        <w:gridCol w:w="2990"/>
        <w:gridCol w:w="140"/>
        <w:gridCol w:w="359"/>
        <w:gridCol w:w="861"/>
        <w:gridCol w:w="60"/>
      </w:tblGrid>
      <w:tr>
        <w:trPr/>
        <w:tc>
          <w:tcPr>
            <w:tcW w:w="2990" w:type="dxa"/>
            <w:tcBorders/>
            <w:vAlign w:val="bottom"/>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Year Ended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December 31,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2025 </w:t>
            </w:r>
          </w:p>
        </w:tc>
        <w:tc>
          <w:tcPr>
            <w:tcW w:w="60"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Research and development expenses</w:t>
            </w:r>
          </w:p>
        </w:tc>
        <w:tc>
          <w:tcPr>
            <w:tcW w:w="140" w:type="dxa"/>
            <w:tcBorders/>
            <w:shd w:fill="CCEEFF" w:val="clear"/>
            <w:vAlign w:val="center"/>
          </w:tcPr>
          <w:p>
            <w:pPr>
              <w:pStyle w:val="TableContents"/>
              <w:bidi w:val="0"/>
              <w:spacing w:before="0" w:after="0"/>
              <w:jc w:val="left"/>
              <w:rPr/>
            </w:pPr>
            <w:r>
              <w:rPr/>
              <w:t> </w:t>
            </w:r>
          </w:p>
        </w:tc>
        <w:tc>
          <w:tcPr>
            <w:tcW w:w="3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1"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w:t>
            </w:r>
          </w:p>
        </w:tc>
        <w:tc>
          <w:tcPr>
            <w:tcW w:w="60" w:type="dxa"/>
            <w:tcBorders/>
            <w:shd w:fill="CCEEFF" w:val="clear"/>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General and administrative expenses</w:t>
            </w:r>
          </w:p>
        </w:tc>
        <w:tc>
          <w:tcPr>
            <w:tcW w:w="140" w:type="dxa"/>
            <w:tcBorders/>
            <w:vAlign w:val="center"/>
          </w:tcPr>
          <w:p>
            <w:pPr>
              <w:pStyle w:val="TableContents"/>
              <w:bidi w:val="0"/>
              <w:spacing w:before="0" w:after="0"/>
              <w:jc w:val="left"/>
              <w:rPr/>
            </w:pPr>
            <w:r>
              <w:rPr/>
              <w:t> </w:t>
            </w:r>
          </w:p>
        </w:tc>
        <w:tc>
          <w:tcPr>
            <w:tcW w:w="359" w:type="dxa"/>
            <w:tcBorders/>
            <w:vAlign w:val="center"/>
          </w:tcPr>
          <w:p>
            <w:pPr>
              <w:pStyle w:val="TableContents"/>
              <w:bidi w:val="0"/>
              <w:spacing w:before="0" w:after="0"/>
              <w:jc w:val="left"/>
              <w:rPr/>
            </w:pPr>
            <w:r>
              <w:rPr/>
              <w:t> </w:t>
            </w:r>
          </w:p>
        </w:tc>
        <w:tc>
          <w:tcPr>
            <w:tcW w:w="861"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15. Commitments and Contingencies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did not have any litigation, capital or other significant commitments, long-term obligations, or guarantees as of December 31, 2025 other than disclosed in these consolidated financial statements.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Although the Company is not currently subject to any litigation, and no litigation is currently threatened against it, the Company may be subject to legal proceedings, claims, and litigations arising in the ordinary course of business. Such matters are subject to many uncertainties and outcomes and are not predictable with assurance. The Company accrues amounts that it believes are adequate to address any liabilities related to legal proceedings and other loss contingencies that the Company believes will result in a probable loss that is reasonably estimable.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16. Subsequent Events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has evaluated subsequent events through July15, 2026, the date on which the accompanying financial statements are available to be issued.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February 28, 2026, the Company terminated the Agreement and Plan of Merger and Reorganization with Pulmatrix, Inc. dated as of November 13, 2024 and as amended as of April 7, 2025, in accordance with the terms thereof, effectively canceling the proposed transaction and all related agreements thereunder.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March 2, 2026, the Company entered into a Merger Agreement with Gyre and the Merger Sub, pursuant to which the Merger Sub will merge with and into Cullgen, resulting in Cullgen becoming a wholly owned subsidiary of Gyre. The transaction is subject to customary closing conditions and will become effective upon the filing of the certificate of merger in the State of Delaware.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May 4, 2026, in accordance with the terms of the Merger Agreement, by and among Gyre, Merger Sub and the Company, Gyre acquired Cullgen. Pursuant to the Merger Agreement, Merger Sub merged with and into Cullgen, with Cullgen continuing as a wholly owned subsidiary of Gyre and the surviving corporation of the Merger. The Merger is intended to qualify for federal income tax purposes as a tax-free reorganization under the provisions of Section 368(a) of the Internal Revenue Code of 1986, as amended. The management evaluated the transaction and concluded that the merger did not impact the Company's income tax provision for the three months ended March 31, 2026. The Company will continue to evaluate the tax effects of the transaction in subsequent reporting periods.</w:t>
        <w:br/>
        <w:br/>
        <w:t>Under the terms of the Merger Agreement, Gyre acquired Cullgen in an all-stock transaction that valued Cullgen at approximately $300 million. At the effective time of the Merger (the “Effective Time”), each then outstanding share of Cullgen capital stock (the “Cullgen Capital Stock”), excluding shares of Cullgen Capital Stock held as treasury stock immediately prior to the Effective Time and any dissenting shares, converted into (1) with respect to shares of Cullgen Capital Stock held by certain designated holders, (i) for each share of Cullgen common stock (“Cullgen Common Stock”) held by such holders, a number of shares of Gyre's Series B Convertible Preferred Stock, par value $0.001 per share (the “Series B Preferred Stock”), equal to (x) 0.4753 (the “Exchange Ratio”) divided by five, and (ii) for each share of Cullgen preferred stock (“Cullgen Preferred Stock”) held by such designated holders, a number of shares of Series B Preferred Stock equal to (x) the number of shares of Cullgen Common Stock issuable upon conversion of each share of Cullgen Preferred Stock, multiplied by the Exchange Ratio, and divided by five, and (2) with respect to shares of Cullgen Capital Stock held by each other holder, (i) for each share of Cullgen Common Stock held by such holders, a number of shares of common stock equal to the Exchange Ratio, and (ii) for each share of Cullgen Preferred Stock held by such holders, a number of shares of common stock equal to the number of shares of Cullgen Common Stock issuable upon conversion of each share of Cullgen Preferred Stock, multiplied by the Exchange Ratio. Each share of Series B Preferred Stock received in the Merger is convertible into five shares of common stock, subject to certain conditions described below with respect to the Conversion Proposal (as defined below). Notwithstanding anything herein to the contrary, in no event will Gyre issue greater than 19.99% of its issued and outstanding common stock or its voting power prior to the approval of the Conversion Proposal.</w:t>
        <w:br/>
        <w:br/>
        <w:t>In addition, at the Effective Time (1) each then-outstanding in-the-money option to purchase shares of Cullgen Common Stock that was outstanding and unexercised immediately prior to the Effective Time, whether vested or unvested, ceased to represent a right to acquire shares of Cullgen Common Stock and converted into and became an option to purchase shares of common stock on the existing terms and conditions (including with respect to vesting and accelerated vesting), subject to adjustment as set forth in the Merger Agreement, (2) each then-outstanding option to purchase shares of Cullgen Common Stock that was not an in-the-money option and was outstanding and unexercised immediately prior to the Effective Time was cancelled at the Effective Time for no consideration, and (3) each Cullgen restricted stock unit will vest and be settled for Cullgen Common Stock and the holder thereof received a number of shares of common stock calculated in accordance with the Merger Agreement.</w:t>
      </w:r>
    </w:p>
    <w:p>
      <w:pPr>
        <w:pStyle w:val="TextBody"/>
        <w:bidi w:val="0"/>
        <w:spacing w:before="0" w:after="0"/>
        <w:jc w:val="both"/>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128" w:name="INDEXTOCULLGENSCONSOLIDAT"/>
      <w:bookmarkEnd w:id="128"/>
      <w:r>
        <w:rPr>
          <w:rFonts w:ascii="Times New Roman" w:hAnsi="Times New Roman"/>
          <w:b/>
          <w:color w:val="000000"/>
          <w:sz w:val="20"/>
        </w:rPr>
        <w:t>INDEX TO CULLGEN’S CONSOLIDATED FINANCIAL STATEMENTS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9" w:name="zcd01c1c3a1b74c37adf4c7d3d00f7478"/>
      <w:bookmarkStart w:id="130" w:name="zcd01c1c3a1b74c37adf4c7d3d00f7478"/>
      <w:bookmarkEnd w:id="130"/>
    </w:p>
    <w:tbl>
      <w:tblPr>
        <w:tblW w:w="10205" w:type="dxa"/>
        <w:jc w:val="left"/>
        <w:tblInd w:w="0" w:type="dxa"/>
        <w:tblLayout w:type="fixed"/>
        <w:tblCellMar>
          <w:top w:w="0" w:type="dxa"/>
          <w:left w:w="0" w:type="dxa"/>
          <w:bottom w:w="0" w:type="dxa"/>
          <w:right w:w="0" w:type="dxa"/>
        </w:tblCellMar>
      </w:tblPr>
      <w:tblGrid>
        <w:gridCol w:w="9795"/>
        <w:gridCol w:w="410"/>
      </w:tblGrid>
      <w:tr>
        <w:trPr/>
        <w:tc>
          <w:tcPr>
            <w:tcW w:w="9795" w:type="dxa"/>
            <w:tcBorders/>
            <w:vAlign w:val="center"/>
          </w:tcPr>
          <w:p>
            <w:pPr>
              <w:pStyle w:val="TableContents"/>
              <w:bidi w:val="0"/>
              <w:spacing w:before="0" w:after="283"/>
              <w:jc w:val="left"/>
              <w:rPr/>
            </w:pPr>
            <w:r>
              <w:rPr/>
              <w:t> </w:t>
            </w:r>
          </w:p>
        </w:tc>
        <w:tc>
          <w:tcPr>
            <w:tcW w:w="41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Page</w:t>
            </w:r>
          </w:p>
        </w:tc>
      </w:tr>
      <w:tr>
        <w:trPr/>
        <w:tc>
          <w:tcPr>
            <w:tcW w:w="9795" w:type="dxa"/>
            <w:tcBorders/>
            <w:shd w:fill="CCEEFF" w:val="clear"/>
            <w:vAlign w:val="center"/>
          </w:tcPr>
          <w:p>
            <w:pPr>
              <w:pStyle w:val="TableContents"/>
              <w:bidi w:val="0"/>
              <w:spacing w:before="0" w:after="0"/>
              <w:ind w:left="180" w:right="0" w:hanging="180"/>
              <w:jc w:val="left"/>
              <w:rPr/>
            </w:pPr>
            <w:hyperlink w:anchor="CondensedConsolidatedBala">
              <w:r>
                <w:rPr>
                  <w:rStyle w:val="InternetLink"/>
                  <w:rFonts w:ascii="Times New Roman" w:hAnsi="Times New Roman"/>
                  <w:color w:val="000000"/>
                  <w:sz w:val="20"/>
                </w:rPr>
                <w:t>Condensed Consolidated Balance Sheets as of December 31, 2025 and March 31, 2026</w:t>
              </w:r>
            </w:hyperlink>
          </w:p>
        </w:tc>
        <w:tc>
          <w:tcPr>
            <w:tcW w:w="410"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w:t>
            </w:r>
          </w:p>
        </w:tc>
      </w:tr>
      <w:tr>
        <w:trPr/>
        <w:tc>
          <w:tcPr>
            <w:tcW w:w="9795" w:type="dxa"/>
            <w:tcBorders/>
            <w:vAlign w:val="center"/>
          </w:tcPr>
          <w:p>
            <w:pPr>
              <w:pStyle w:val="TableContents"/>
              <w:bidi w:val="0"/>
              <w:spacing w:before="0" w:after="0"/>
              <w:ind w:left="180" w:right="0" w:hanging="180"/>
              <w:jc w:val="left"/>
              <w:rPr/>
            </w:pPr>
            <w:hyperlink w:anchor="CondensedConsolidatedStat">
              <w:r>
                <w:rPr>
                  <w:rStyle w:val="InternetLink"/>
                  <w:rFonts w:ascii="Times New Roman" w:hAnsi="Times New Roman"/>
                  <w:color w:val="000000"/>
                  <w:sz w:val="20"/>
                </w:rPr>
                <w:t>Condensed Consolidated Statements of Comprehensive Loss for the Three months ended March 31, 2025 and 2026</w:t>
              </w:r>
            </w:hyperlink>
          </w:p>
        </w:tc>
        <w:tc>
          <w:tcPr>
            <w:tcW w:w="4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w:t>
            </w:r>
          </w:p>
        </w:tc>
      </w:tr>
      <w:tr>
        <w:trPr/>
        <w:tc>
          <w:tcPr>
            <w:tcW w:w="9795" w:type="dxa"/>
            <w:tcBorders/>
            <w:shd w:fill="CCEEFF" w:val="clear"/>
            <w:vAlign w:val="center"/>
          </w:tcPr>
          <w:p>
            <w:pPr>
              <w:pStyle w:val="TableContents"/>
              <w:bidi w:val="0"/>
              <w:spacing w:before="0" w:after="0"/>
              <w:ind w:left="180" w:right="0" w:hanging="180"/>
              <w:jc w:val="left"/>
              <w:rPr/>
            </w:pPr>
            <w:hyperlink w:anchor="PreferredStock">
              <w:r>
                <w:rPr>
                  <w:rStyle w:val="InternetLink"/>
                  <w:rFonts w:ascii="Times New Roman" w:hAnsi="Times New Roman"/>
                  <w:color w:val="000000"/>
                  <w:sz w:val="20"/>
                </w:rPr>
                <w:t>Condensed Consolidated Statements of Changes in Redeemable Convertible Preferred Stock and Stockholders’ Deficit for the Three months ended March 31, 2025 and 2026</w:t>
              </w:r>
            </w:hyperlink>
          </w:p>
        </w:tc>
        <w:tc>
          <w:tcPr>
            <w:tcW w:w="410"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4</w:t>
            </w:r>
          </w:p>
        </w:tc>
      </w:tr>
      <w:tr>
        <w:trPr/>
        <w:tc>
          <w:tcPr>
            <w:tcW w:w="9795" w:type="dxa"/>
            <w:tcBorders/>
            <w:vAlign w:val="center"/>
          </w:tcPr>
          <w:p>
            <w:pPr>
              <w:pStyle w:val="TableContents"/>
              <w:bidi w:val="0"/>
              <w:spacing w:before="0" w:after="0"/>
              <w:ind w:left="180" w:right="0" w:hanging="180"/>
              <w:jc w:val="left"/>
              <w:rPr/>
            </w:pPr>
            <w:hyperlink w:anchor="CashFlows2">
              <w:r>
                <w:rPr>
                  <w:rStyle w:val="InternetLink"/>
                  <w:rFonts w:ascii="Times New Roman" w:hAnsi="Times New Roman"/>
                  <w:color w:val="000000"/>
                  <w:sz w:val="20"/>
                </w:rPr>
                <w:t>Condensed Consolidated Statements of Cash Flows for the Three months ended March 31, 2025 and 2026</w:t>
              </w:r>
            </w:hyperlink>
          </w:p>
        </w:tc>
        <w:tc>
          <w:tcPr>
            <w:tcW w:w="4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w:t>
            </w:r>
          </w:p>
        </w:tc>
      </w:tr>
      <w:tr>
        <w:trPr/>
        <w:tc>
          <w:tcPr>
            <w:tcW w:w="9795" w:type="dxa"/>
            <w:tcBorders/>
            <w:shd w:fill="CCEEFF" w:val="clear"/>
            <w:vAlign w:val="center"/>
          </w:tcPr>
          <w:p>
            <w:pPr>
              <w:pStyle w:val="TableContents"/>
              <w:bidi w:val="0"/>
              <w:spacing w:before="0" w:after="0"/>
              <w:ind w:left="180" w:right="0" w:hanging="180"/>
              <w:jc w:val="left"/>
              <w:rPr/>
            </w:pPr>
            <w:hyperlink w:anchor="NotestoCondensedConsolida">
              <w:r>
                <w:rPr>
                  <w:rStyle w:val="InternetLink"/>
                  <w:rFonts w:ascii="Times New Roman" w:hAnsi="Times New Roman"/>
                  <w:color w:val="000000"/>
                  <w:sz w:val="20"/>
                </w:rPr>
                <w:t>Notes to Consolidated Financial Statements for the Three months ended March 31, 2025 and 2026</w:t>
              </w:r>
            </w:hyperlink>
          </w:p>
        </w:tc>
        <w:tc>
          <w:tcPr>
            <w:tcW w:w="410"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6</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rFonts w:ascii="Times New Roman" w:hAnsi="Times New Roman"/>
          <w:b/>
          <w:color w:val="000000"/>
          <w:sz w:val="20"/>
        </w:rPr>
      </w:pPr>
      <w:bookmarkStart w:id="131" w:name="CondensedConsolidatedBala"/>
      <w:bookmarkEnd w:id="131"/>
      <w:r>
        <w:rPr>
          <w:rFonts w:ascii="Times New Roman" w:hAnsi="Times New Roman"/>
          <w:b/>
          <w:color w:val="000000"/>
          <w:sz w:val="20"/>
        </w:rPr>
        <w:t>Condensed Consolidated Balance Sheets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32" w:name="z421e8d1b7ab74f5f9224b98500152655"/>
      <w:bookmarkStart w:id="133" w:name="z421e8d1b7ab74f5f9224b98500152655"/>
      <w:bookmarkEnd w:id="133"/>
    </w:p>
    <w:tbl>
      <w:tblPr>
        <w:tblW w:w="10205" w:type="dxa"/>
        <w:jc w:val="left"/>
        <w:tblInd w:w="0" w:type="dxa"/>
        <w:tblLayout w:type="fixed"/>
        <w:tblCellMar>
          <w:top w:w="0" w:type="dxa"/>
          <w:left w:w="0" w:type="dxa"/>
          <w:bottom w:w="0" w:type="dxa"/>
          <w:right w:w="0" w:type="dxa"/>
        </w:tblCellMar>
      </w:tblPr>
      <w:tblGrid>
        <w:gridCol w:w="8082"/>
        <w:gridCol w:w="60"/>
        <w:gridCol w:w="125"/>
        <w:gridCol w:w="757"/>
        <w:gridCol w:w="80"/>
        <w:gridCol w:w="60"/>
        <w:gridCol w:w="136"/>
        <w:gridCol w:w="823"/>
        <w:gridCol w:w="82"/>
      </w:tblGrid>
      <w:tr>
        <w:trPr/>
        <w:tc>
          <w:tcPr>
            <w:tcW w:w="80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tc>
        <w:tc>
          <w:tcPr>
            <w:tcW w:w="82" w:type="dxa"/>
            <w:tcBorders/>
            <w:vAlign w:val="bottom"/>
          </w:tcPr>
          <w:p>
            <w:pPr>
              <w:pStyle w:val="TableContents"/>
              <w:bidi w:val="0"/>
              <w:spacing w:before="0" w:after="283"/>
              <w:jc w:val="left"/>
              <w:rPr/>
            </w:pPr>
            <w:r>
              <w:rPr/>
              <w:t> </w:t>
            </w:r>
          </w:p>
        </w:tc>
      </w:tr>
      <w:tr>
        <w:trPr/>
        <w:tc>
          <w:tcPr>
            <w:tcW w:w="80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2" w:type="dxa"/>
            <w:tcBorders/>
            <w:vAlign w:val="bottom"/>
          </w:tcPr>
          <w:p>
            <w:pPr>
              <w:pStyle w:val="TableContents"/>
              <w:bidi w:val="0"/>
              <w:spacing w:before="0" w:after="283"/>
              <w:jc w:val="left"/>
              <w:rPr/>
            </w:pPr>
            <w:r>
              <w:rPr/>
              <w:t> </w:t>
            </w:r>
          </w:p>
        </w:tc>
      </w:tr>
      <w:tr>
        <w:trPr/>
        <w:tc>
          <w:tcPr>
            <w:tcW w:w="8082"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Assets</w:t>
            </w:r>
          </w:p>
        </w:tc>
        <w:tc>
          <w:tcPr>
            <w:tcW w:w="60" w:type="dxa"/>
            <w:tcBorders/>
            <w:shd w:fill="CCEEFF" w:val="clear"/>
            <w:vAlign w:val="bottom"/>
          </w:tcPr>
          <w:p>
            <w:pPr>
              <w:pStyle w:val="TableContents"/>
              <w:bidi w:val="0"/>
              <w:spacing w:before="0" w:after="283"/>
              <w:jc w:val="left"/>
              <w:rPr/>
            </w:pPr>
            <w:r>
              <w:rPr/>
              <w:t> </w:t>
            </w:r>
          </w:p>
        </w:tc>
        <w:tc>
          <w:tcPr>
            <w:tcW w:w="882"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9" w:type="dxa"/>
            <w:gridSpan w:val="2"/>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r>
      <w:tr>
        <w:trPr/>
        <w:tc>
          <w:tcPr>
            <w:tcW w:w="808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assets:</w:t>
            </w:r>
          </w:p>
        </w:tc>
        <w:tc>
          <w:tcPr>
            <w:tcW w:w="60" w:type="dxa"/>
            <w:tcBorders/>
            <w:vAlign w:val="bottom"/>
          </w:tcPr>
          <w:p>
            <w:pPr>
              <w:pStyle w:val="TableContents"/>
              <w:bidi w:val="0"/>
              <w:spacing w:before="0" w:after="283"/>
              <w:jc w:val="left"/>
              <w:rPr/>
            </w:pPr>
            <w:r>
              <w:rPr/>
              <w:t> </w:t>
            </w:r>
          </w:p>
        </w:tc>
        <w:tc>
          <w:tcPr>
            <w:tcW w:w="882"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9" w:type="dxa"/>
            <w:gridSpan w:val="2"/>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r>
      <w:tr>
        <w:trPr/>
        <w:tc>
          <w:tcPr>
            <w:tcW w:w="8082"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12,122</w:t>
            </w:r>
          </w:p>
        </w:tc>
        <w:tc>
          <w:tcPr>
            <w:tcW w:w="82" w:type="dxa"/>
            <w:tcBorders/>
            <w:shd w:fill="CCEEFF" w:val="clear"/>
            <w:vAlign w:val="bottom"/>
          </w:tcPr>
          <w:p>
            <w:pPr>
              <w:pStyle w:val="TableContents"/>
              <w:bidi w:val="0"/>
              <w:spacing w:before="0" w:after="283"/>
              <w:jc w:val="left"/>
              <w:rPr/>
            </w:pPr>
            <w:r>
              <w:rPr/>
              <w:t> </w:t>
            </w:r>
          </w:p>
        </w:tc>
      </w:tr>
      <w:tr>
        <w:trPr/>
        <w:tc>
          <w:tcPr>
            <w:tcW w:w="8082"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Short-term investments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21,998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28,085</w:t>
            </w:r>
          </w:p>
        </w:tc>
        <w:tc>
          <w:tcPr>
            <w:tcW w:w="82" w:type="dxa"/>
            <w:tcBorders/>
            <w:vAlign w:val="bottom"/>
          </w:tcPr>
          <w:p>
            <w:pPr>
              <w:pStyle w:val="TableContents"/>
              <w:bidi w:val="0"/>
              <w:spacing w:before="0" w:after="283"/>
              <w:jc w:val="left"/>
              <w:rPr/>
            </w:pPr>
            <w:r>
              <w:rPr/>
              <w:t> </w:t>
            </w:r>
          </w:p>
        </w:tc>
      </w:tr>
      <w:tr>
        <w:trPr/>
        <w:tc>
          <w:tcPr>
            <w:tcW w:w="8082"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Prepaid expenses and other receivables, net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6,786</w:t>
            </w:r>
          </w:p>
        </w:tc>
        <w:tc>
          <w:tcPr>
            <w:tcW w:w="82" w:type="dxa"/>
            <w:tcBorders/>
            <w:shd w:fill="CCEEFF" w:val="clear"/>
            <w:vAlign w:val="bottom"/>
          </w:tcPr>
          <w:p>
            <w:pPr>
              <w:pStyle w:val="TableContents"/>
              <w:bidi w:val="0"/>
              <w:spacing w:before="0" w:after="283"/>
              <w:jc w:val="left"/>
              <w:rPr/>
            </w:pPr>
            <w:r>
              <w:rPr/>
              <w:t> </w:t>
            </w:r>
          </w:p>
        </w:tc>
      </w:tr>
      <w:tr>
        <w:trPr/>
        <w:tc>
          <w:tcPr>
            <w:tcW w:w="808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current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37,762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46,993</w:t>
            </w:r>
          </w:p>
        </w:tc>
        <w:tc>
          <w:tcPr>
            <w:tcW w:w="82" w:type="dxa"/>
            <w:tcBorders/>
            <w:vAlign w:val="bottom"/>
          </w:tcPr>
          <w:p>
            <w:pPr>
              <w:pStyle w:val="TableContents"/>
              <w:bidi w:val="0"/>
              <w:spacing w:before="0" w:after="283"/>
              <w:jc w:val="left"/>
              <w:rPr/>
            </w:pPr>
            <w:r>
              <w:rPr/>
              <w:t> </w:t>
            </w:r>
          </w:p>
        </w:tc>
      </w:tr>
      <w:tr>
        <w:trPr/>
        <w:tc>
          <w:tcPr>
            <w:tcW w:w="80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Non-current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r>
      <w:tr>
        <w:trPr/>
        <w:tc>
          <w:tcPr>
            <w:tcW w:w="8082"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Property and equipment,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3,951</w:t>
            </w:r>
          </w:p>
        </w:tc>
        <w:tc>
          <w:tcPr>
            <w:tcW w:w="82" w:type="dxa"/>
            <w:tcBorders/>
            <w:vAlign w:val="bottom"/>
          </w:tcPr>
          <w:p>
            <w:pPr>
              <w:pStyle w:val="TableContents"/>
              <w:bidi w:val="0"/>
              <w:spacing w:before="0" w:after="283"/>
              <w:jc w:val="left"/>
              <w:rPr/>
            </w:pPr>
            <w:r>
              <w:rPr/>
              <w:t> </w:t>
            </w:r>
          </w:p>
        </w:tc>
      </w:tr>
      <w:tr>
        <w:trPr/>
        <w:tc>
          <w:tcPr>
            <w:tcW w:w="8082"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2,478</w:t>
            </w:r>
          </w:p>
        </w:tc>
        <w:tc>
          <w:tcPr>
            <w:tcW w:w="82" w:type="dxa"/>
            <w:tcBorders/>
            <w:shd w:fill="CCEEFF" w:val="clear"/>
            <w:vAlign w:val="bottom"/>
          </w:tcPr>
          <w:p>
            <w:pPr>
              <w:pStyle w:val="TableContents"/>
              <w:bidi w:val="0"/>
              <w:spacing w:before="0" w:after="283"/>
              <w:jc w:val="left"/>
              <w:rPr/>
            </w:pPr>
            <w:r>
              <w:rPr/>
              <w:t> </w:t>
            </w:r>
          </w:p>
        </w:tc>
      </w:tr>
      <w:tr>
        <w:trPr/>
        <w:tc>
          <w:tcPr>
            <w:tcW w:w="8082"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non-current assets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209</w:t>
            </w:r>
          </w:p>
        </w:tc>
        <w:tc>
          <w:tcPr>
            <w:tcW w:w="82" w:type="dxa"/>
            <w:tcBorders/>
            <w:vAlign w:val="bottom"/>
          </w:tcPr>
          <w:p>
            <w:pPr>
              <w:pStyle w:val="TableContents"/>
              <w:bidi w:val="0"/>
              <w:spacing w:before="0" w:after="283"/>
              <w:jc w:val="left"/>
              <w:rPr/>
            </w:pPr>
            <w:r>
              <w:rPr/>
              <w:t> </w:t>
            </w:r>
          </w:p>
        </w:tc>
      </w:tr>
      <w:tr>
        <w:trPr/>
        <w:tc>
          <w:tcPr>
            <w:tcW w:w="80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non-current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6,638</w:t>
            </w:r>
          </w:p>
        </w:tc>
        <w:tc>
          <w:tcPr>
            <w:tcW w:w="82" w:type="dxa"/>
            <w:tcBorders/>
            <w:shd w:fill="CCEEFF" w:val="clear"/>
            <w:vAlign w:val="bottom"/>
          </w:tcPr>
          <w:p>
            <w:pPr>
              <w:pStyle w:val="TableContents"/>
              <w:bidi w:val="0"/>
              <w:spacing w:before="0" w:after="283"/>
              <w:jc w:val="left"/>
              <w:rPr/>
            </w:pPr>
            <w:r>
              <w:rPr/>
              <w:t> </w:t>
            </w:r>
          </w:p>
        </w:tc>
      </w:tr>
      <w:tr>
        <w:trPr/>
        <w:tc>
          <w:tcPr>
            <w:tcW w:w="808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assets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44,552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53,631</w:t>
            </w:r>
          </w:p>
        </w:tc>
        <w:tc>
          <w:tcPr>
            <w:tcW w:w="82" w:type="dxa"/>
            <w:tcBorders/>
            <w:vAlign w:val="bottom"/>
          </w:tcPr>
          <w:p>
            <w:pPr>
              <w:pStyle w:val="TableContents"/>
              <w:bidi w:val="0"/>
              <w:spacing w:before="0" w:after="283"/>
              <w:jc w:val="left"/>
              <w:rPr/>
            </w:pPr>
            <w:r>
              <w:rPr/>
              <w:t> </w:t>
            </w:r>
          </w:p>
        </w:tc>
      </w:tr>
      <w:tr>
        <w:trPr/>
        <w:tc>
          <w:tcPr>
            <w:tcW w:w="80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r>
      <w:tr>
        <w:trPr/>
        <w:tc>
          <w:tcPr>
            <w:tcW w:w="8082"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Liabilities, redeemable convertible preferred stock, and stockholders’ deficit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r>
      <w:tr>
        <w:trPr/>
        <w:tc>
          <w:tcPr>
            <w:tcW w:w="80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r>
      <w:tr>
        <w:trPr/>
        <w:tc>
          <w:tcPr>
            <w:tcW w:w="8082"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Accounts payable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1,211</w:t>
            </w:r>
          </w:p>
        </w:tc>
        <w:tc>
          <w:tcPr>
            <w:tcW w:w="82" w:type="dxa"/>
            <w:tcBorders/>
            <w:vAlign w:val="bottom"/>
          </w:tcPr>
          <w:p>
            <w:pPr>
              <w:pStyle w:val="TableContents"/>
              <w:bidi w:val="0"/>
              <w:spacing w:before="0" w:after="283"/>
              <w:jc w:val="left"/>
              <w:rPr/>
            </w:pPr>
            <w:r>
              <w:rPr/>
              <w:t> </w:t>
            </w:r>
          </w:p>
        </w:tc>
      </w:tr>
      <w:tr>
        <w:trPr/>
        <w:tc>
          <w:tcPr>
            <w:tcW w:w="8082"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2,633</w:t>
            </w:r>
          </w:p>
        </w:tc>
        <w:tc>
          <w:tcPr>
            <w:tcW w:w="82" w:type="dxa"/>
            <w:tcBorders/>
            <w:shd w:fill="CCEEFF" w:val="clear"/>
            <w:vAlign w:val="bottom"/>
          </w:tcPr>
          <w:p>
            <w:pPr>
              <w:pStyle w:val="TableContents"/>
              <w:bidi w:val="0"/>
              <w:spacing w:before="0" w:after="283"/>
              <w:jc w:val="left"/>
              <w:rPr/>
            </w:pPr>
            <w:r>
              <w:rPr/>
              <w:t> </w:t>
            </w:r>
          </w:p>
        </w:tc>
      </w:tr>
      <w:tr>
        <w:trPr/>
        <w:tc>
          <w:tcPr>
            <w:tcW w:w="8082"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Operating lease liabilities, current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483</w:t>
            </w:r>
          </w:p>
        </w:tc>
        <w:tc>
          <w:tcPr>
            <w:tcW w:w="82" w:type="dxa"/>
            <w:tcBorders/>
            <w:vAlign w:val="bottom"/>
          </w:tcPr>
          <w:p>
            <w:pPr>
              <w:pStyle w:val="TableContents"/>
              <w:bidi w:val="0"/>
              <w:spacing w:before="0" w:after="283"/>
              <w:jc w:val="left"/>
              <w:rPr/>
            </w:pPr>
            <w:r>
              <w:rPr/>
              <w:t> </w:t>
            </w:r>
          </w:p>
        </w:tc>
      </w:tr>
      <w:tr>
        <w:trPr/>
        <w:tc>
          <w:tcPr>
            <w:tcW w:w="8082"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Deferred revenue, current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1,170</w:t>
            </w:r>
          </w:p>
        </w:tc>
        <w:tc>
          <w:tcPr>
            <w:tcW w:w="82" w:type="dxa"/>
            <w:tcBorders/>
            <w:shd w:fill="CCEEFF" w:val="clear"/>
            <w:vAlign w:val="bottom"/>
          </w:tcPr>
          <w:p>
            <w:pPr>
              <w:pStyle w:val="TableContents"/>
              <w:bidi w:val="0"/>
              <w:spacing w:before="0" w:after="283"/>
              <w:jc w:val="left"/>
              <w:rPr/>
            </w:pPr>
            <w:r>
              <w:rPr/>
              <w:t> </w:t>
            </w:r>
          </w:p>
        </w:tc>
      </w:tr>
      <w:tr>
        <w:trPr/>
        <w:tc>
          <w:tcPr>
            <w:tcW w:w="808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current liabilities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5,497</w:t>
            </w:r>
          </w:p>
        </w:tc>
        <w:tc>
          <w:tcPr>
            <w:tcW w:w="82" w:type="dxa"/>
            <w:tcBorders/>
            <w:vAlign w:val="bottom"/>
          </w:tcPr>
          <w:p>
            <w:pPr>
              <w:pStyle w:val="TableContents"/>
              <w:bidi w:val="0"/>
              <w:spacing w:before="0" w:after="283"/>
              <w:jc w:val="left"/>
              <w:rPr/>
            </w:pPr>
            <w:r>
              <w:rPr/>
              <w:t> </w:t>
            </w:r>
          </w:p>
        </w:tc>
      </w:tr>
      <w:tr>
        <w:trPr/>
        <w:tc>
          <w:tcPr>
            <w:tcW w:w="80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Non-current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r>
      <w:tr>
        <w:trPr/>
        <w:tc>
          <w:tcPr>
            <w:tcW w:w="8082"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Operating lease liabilities, non-current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2,157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2,001</w:t>
            </w:r>
          </w:p>
        </w:tc>
        <w:tc>
          <w:tcPr>
            <w:tcW w:w="82" w:type="dxa"/>
            <w:tcBorders/>
            <w:vAlign w:val="bottom"/>
          </w:tcPr>
          <w:p>
            <w:pPr>
              <w:pStyle w:val="TableContents"/>
              <w:bidi w:val="0"/>
              <w:spacing w:before="0" w:after="283"/>
              <w:jc w:val="left"/>
              <w:rPr/>
            </w:pPr>
            <w:r>
              <w:rPr/>
              <w:t> </w:t>
            </w:r>
          </w:p>
        </w:tc>
      </w:tr>
      <w:tr>
        <w:trPr/>
        <w:tc>
          <w:tcPr>
            <w:tcW w:w="8082"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Deferred revenue, non-current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w:t>
            </w:r>
          </w:p>
        </w:tc>
        <w:tc>
          <w:tcPr>
            <w:tcW w:w="82" w:type="dxa"/>
            <w:tcBorders/>
            <w:shd w:fill="CCEEFF" w:val="clear"/>
            <w:vAlign w:val="bottom"/>
          </w:tcPr>
          <w:p>
            <w:pPr>
              <w:pStyle w:val="TableContents"/>
              <w:bidi w:val="0"/>
              <w:spacing w:before="0" w:after="283"/>
              <w:jc w:val="left"/>
              <w:rPr/>
            </w:pPr>
            <w:r>
              <w:rPr/>
              <w:t> </w:t>
            </w:r>
          </w:p>
        </w:tc>
      </w:tr>
      <w:tr>
        <w:trPr/>
        <w:tc>
          <w:tcPr>
            <w:tcW w:w="808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non-current liabilities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2,058</w:t>
            </w:r>
          </w:p>
        </w:tc>
        <w:tc>
          <w:tcPr>
            <w:tcW w:w="82" w:type="dxa"/>
            <w:tcBorders/>
            <w:vAlign w:val="bottom"/>
          </w:tcPr>
          <w:p>
            <w:pPr>
              <w:pStyle w:val="TableContents"/>
              <w:bidi w:val="0"/>
              <w:spacing w:before="0" w:after="283"/>
              <w:jc w:val="left"/>
              <w:rPr/>
            </w:pPr>
            <w:r>
              <w:rPr/>
              <w:t> </w:t>
            </w:r>
          </w:p>
        </w:tc>
      </w:tr>
      <w:tr>
        <w:trPr/>
        <w:tc>
          <w:tcPr>
            <w:tcW w:w="80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7,555</w:t>
            </w:r>
          </w:p>
        </w:tc>
        <w:tc>
          <w:tcPr>
            <w:tcW w:w="82" w:type="dxa"/>
            <w:tcBorders/>
            <w:shd w:fill="CCEEFF" w:val="clear"/>
            <w:vAlign w:val="bottom"/>
          </w:tcPr>
          <w:p>
            <w:pPr>
              <w:pStyle w:val="TableContents"/>
              <w:bidi w:val="0"/>
              <w:spacing w:before="0" w:after="283"/>
              <w:jc w:val="left"/>
              <w:rPr/>
            </w:pPr>
            <w:r>
              <w:rPr/>
              <w:t> </w:t>
            </w:r>
          </w:p>
        </w:tc>
      </w:tr>
      <w:tr>
        <w:trPr/>
        <w:tc>
          <w:tcPr>
            <w:tcW w:w="8082"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Commitments and contingencies (Note 13)</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r>
      <w:tr>
        <w:trPr/>
        <w:tc>
          <w:tcPr>
            <w:tcW w:w="8082"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Redeemable convertible preferred stock, $0.0001 par value per share, 57,821,355 shares authorized as of March 31, 2026 and December 31, 2025; 57,821,355 shares issued and outstanding as of March 31, 2026 and December 31, 2025; aggregate liquidation preference of $116,000 as of March 31, 2026 and December 31, 2025</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177,403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173,467</w:t>
            </w:r>
          </w:p>
        </w:tc>
        <w:tc>
          <w:tcPr>
            <w:tcW w:w="82" w:type="dxa"/>
            <w:tcBorders/>
            <w:shd w:fill="CCEEFF" w:val="clear"/>
            <w:vAlign w:val="bottom"/>
          </w:tcPr>
          <w:p>
            <w:pPr>
              <w:pStyle w:val="TableContents"/>
              <w:bidi w:val="0"/>
              <w:spacing w:before="0" w:after="283"/>
              <w:jc w:val="left"/>
              <w:rPr/>
            </w:pPr>
            <w:r>
              <w:rPr/>
              <w:t> </w:t>
            </w:r>
          </w:p>
        </w:tc>
      </w:tr>
      <w:tr>
        <w:trPr/>
        <w:tc>
          <w:tcPr>
            <w:tcW w:w="808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Stockholders’ deficit: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r>
      <w:tr>
        <w:trPr/>
        <w:tc>
          <w:tcPr>
            <w:tcW w:w="8082"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Common stock, $0.0001 par value per share, 143,329,269 shares authorized as of March 31, 2026 and December 31, 2025; 10,023,615 shares issued and outstanding as of March 31, 2026 and December 31, 2025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82" w:type="dxa"/>
            <w:tcBorders/>
            <w:shd w:fill="CCEEFF" w:val="clear"/>
            <w:vAlign w:val="bottom"/>
          </w:tcPr>
          <w:p>
            <w:pPr>
              <w:pStyle w:val="TableContents"/>
              <w:bidi w:val="0"/>
              <w:spacing w:before="0" w:after="283"/>
              <w:jc w:val="left"/>
              <w:rPr/>
            </w:pPr>
            <w:r>
              <w:rPr/>
              <w:t> </w:t>
            </w:r>
          </w:p>
        </w:tc>
      </w:tr>
      <w:tr>
        <w:trPr/>
        <w:tc>
          <w:tcPr>
            <w:tcW w:w="8082"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Additional paid-in capital</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5,127</w:t>
            </w:r>
          </w:p>
        </w:tc>
        <w:tc>
          <w:tcPr>
            <w:tcW w:w="82" w:type="dxa"/>
            <w:tcBorders/>
            <w:vAlign w:val="bottom"/>
          </w:tcPr>
          <w:p>
            <w:pPr>
              <w:pStyle w:val="TableContents"/>
              <w:bidi w:val="0"/>
              <w:spacing w:before="0" w:after="283"/>
              <w:jc w:val="left"/>
              <w:rPr/>
            </w:pPr>
            <w:r>
              <w:rPr/>
              <w:t> </w:t>
            </w:r>
          </w:p>
        </w:tc>
      </w:tr>
      <w:tr>
        <w:trPr/>
        <w:tc>
          <w:tcPr>
            <w:tcW w:w="8082"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Accumulated deficit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(144,834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(132,179</w:t>
            </w:r>
          </w:p>
        </w:tc>
        <w:tc>
          <w:tcPr>
            <w:tcW w:w="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082"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Accumulated other comprehensive loss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(340</w:t>
            </w:r>
          </w:p>
        </w:tc>
        <w:tc>
          <w:tcPr>
            <w:tcW w:w="8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0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stockholders’ deficit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(139,638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(127,391</w:t>
            </w:r>
          </w:p>
        </w:tc>
        <w:tc>
          <w:tcPr>
            <w:tcW w:w="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808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liabilities, redeemable convertible preferred stock, and stockholders’ deficit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44,552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53,631</w:t>
            </w:r>
          </w:p>
        </w:tc>
        <w:tc>
          <w:tcPr>
            <w:tcW w:w="82" w:type="dxa"/>
            <w:tcBorders/>
            <w:vAlign w:val="bottom"/>
          </w:tcPr>
          <w:p>
            <w:pPr>
              <w:pStyle w:val="TableContents"/>
              <w:bidi w:val="0"/>
              <w:spacing w:before="0" w:after="283"/>
              <w:jc w:val="left"/>
              <w:rPr/>
            </w:pPr>
            <w:r>
              <w:rPr/>
              <w:t> </w:t>
            </w:r>
          </w:p>
        </w:tc>
      </w:tr>
    </w:tbl>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The accompanying footnotes are an integral part of these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rFonts w:ascii="Times New Roman" w:hAnsi="Times New Roman"/>
          <w:b/>
          <w:color w:val="000000"/>
          <w:sz w:val="20"/>
        </w:rPr>
      </w:pPr>
      <w:bookmarkStart w:id="134" w:name="CondensedConsolidatedStat"/>
      <w:bookmarkEnd w:id="134"/>
      <w:r>
        <w:rPr>
          <w:rFonts w:ascii="Times New Roman" w:hAnsi="Times New Roman"/>
          <w:b/>
          <w:color w:val="000000"/>
          <w:sz w:val="20"/>
        </w:rPr>
        <w:t>Condensed Consolidated Statements of Comprehensive Loss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35" w:name="z55e57f60a84a44fdaabfe6f549977c03"/>
      <w:bookmarkStart w:id="136" w:name="z55e57f60a84a44fdaabfe6f549977c03"/>
      <w:bookmarkEnd w:id="136"/>
    </w:p>
    <w:tbl>
      <w:tblPr>
        <w:tblW w:w="8818" w:type="dxa"/>
        <w:jc w:val="left"/>
        <w:tblInd w:w="0" w:type="dxa"/>
        <w:tblLayout w:type="fixed"/>
        <w:tblCellMar>
          <w:top w:w="0" w:type="dxa"/>
          <w:left w:w="0" w:type="dxa"/>
          <w:bottom w:w="0" w:type="dxa"/>
          <w:right w:w="0" w:type="dxa"/>
        </w:tblCellMar>
      </w:tblPr>
      <w:tblGrid>
        <w:gridCol w:w="6020"/>
        <w:gridCol w:w="60"/>
        <w:gridCol w:w="144"/>
        <w:gridCol w:w="1097"/>
        <w:gridCol w:w="92"/>
        <w:gridCol w:w="69"/>
        <w:gridCol w:w="144"/>
        <w:gridCol w:w="1097"/>
        <w:gridCol w:w="95"/>
      </w:tblGrid>
      <w:tr>
        <w:trPr/>
        <w:tc>
          <w:tcPr>
            <w:tcW w:w="60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3"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March 31,</w:t>
            </w:r>
          </w:p>
        </w:tc>
        <w:tc>
          <w:tcPr>
            <w:tcW w:w="95" w:type="dxa"/>
            <w:tcBorders/>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1"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9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1"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95" w:type="dxa"/>
            <w:tcBorders/>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Collaboration Revenue</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1,911</w:t>
            </w:r>
          </w:p>
        </w:tc>
        <w:tc>
          <w:tcPr>
            <w:tcW w:w="9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8,513</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expenses:</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9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Research and development expenses</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(4,743</w:t>
            </w:r>
          </w:p>
        </w:tc>
        <w:tc>
          <w:tcPr>
            <w:tcW w:w="9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(4,996</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02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General and administrative expenses</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(6,785</w:t>
            </w:r>
          </w:p>
        </w:tc>
        <w:tc>
          <w:tcPr>
            <w:tcW w:w="9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(3,249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0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(11,528</w:t>
            </w:r>
          </w:p>
        </w:tc>
        <w:tc>
          <w:tcPr>
            <w:tcW w:w="9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(8,245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0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operating income, net</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335</w:t>
            </w:r>
          </w:p>
        </w:tc>
        <w:tc>
          <w:tcPr>
            <w:tcW w:w="9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288</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(Loss) income from operations</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(9,282</w:t>
            </w:r>
          </w:p>
        </w:tc>
        <w:tc>
          <w:tcPr>
            <w:tcW w:w="9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556</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Foreign currency exchange gain</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191</w:t>
            </w:r>
          </w:p>
        </w:tc>
        <w:tc>
          <w:tcPr>
            <w:tcW w:w="9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Interest income</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285</w:t>
            </w:r>
          </w:p>
        </w:tc>
        <w:tc>
          <w:tcPr>
            <w:tcW w:w="9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587</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income, net</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c>
          <w:tcPr>
            <w:tcW w:w="9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(Loss) income before income taxes</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(8,790</w:t>
            </w:r>
          </w:p>
        </w:tc>
        <w:tc>
          <w:tcPr>
            <w:tcW w:w="9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1,204</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 benefit</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w:t>
            </w:r>
          </w:p>
        </w:tc>
        <w:tc>
          <w:tcPr>
            <w:tcW w:w="9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 income</w:t>
            </w:r>
          </w:p>
        </w:tc>
        <w:tc>
          <w:tcPr>
            <w:tcW w:w="60"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(8,719</w:t>
            </w:r>
          </w:p>
        </w:tc>
        <w:tc>
          <w:tcPr>
            <w:tcW w:w="9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1,204</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Accretion of redeemable convertible preferred stock</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(3,936</w:t>
            </w:r>
          </w:p>
        </w:tc>
        <w:tc>
          <w:tcPr>
            <w:tcW w:w="9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0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(12,655</w:t>
            </w:r>
          </w:p>
        </w:tc>
        <w:tc>
          <w:tcPr>
            <w:tcW w:w="9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(2,361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0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 per share attributable to common stockholders - basic and diluted</w:t>
            </w:r>
          </w:p>
        </w:tc>
        <w:tc>
          <w:tcPr>
            <w:tcW w:w="60" w:type="dxa"/>
            <w:tcBorders/>
            <w:vAlign w:val="bottom"/>
          </w:tcPr>
          <w:p>
            <w:pPr>
              <w:pStyle w:val="TableContents"/>
              <w:bidi w:val="0"/>
              <w:spacing w:before="0" w:after="283"/>
              <w:jc w:val="lef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w:t>
            </w:r>
          </w:p>
        </w:tc>
        <w:tc>
          <w:tcPr>
            <w:tcW w:w="9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 w:type="dxa"/>
            <w:tcBorders/>
            <w:vAlign w:val="bottom"/>
          </w:tcPr>
          <w:p>
            <w:pPr>
              <w:pStyle w:val="TableContents"/>
              <w:bidi w:val="0"/>
              <w:spacing w:before="0" w:after="283"/>
              <w:jc w:val="lef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(0.24</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0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 average common stocks outstanding - basic and diluted</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9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10,023,615</w:t>
            </w:r>
          </w:p>
        </w:tc>
        <w:tc>
          <w:tcPr>
            <w:tcW w:w="9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9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10,023,615</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9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comprehensive (loss) income, net of tax:</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9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Unrealized gain (loss) on short-term investments</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w:t>
            </w:r>
          </w:p>
        </w:tc>
        <w:tc>
          <w:tcPr>
            <w:tcW w:w="9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Reclassification adjustment for gains included in net loss</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w:t>
            </w:r>
          </w:p>
        </w:tc>
        <w:tc>
          <w:tcPr>
            <w:tcW w:w="9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02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Foreign currency translation adjustments, net of tax</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222</w:t>
            </w:r>
          </w:p>
        </w:tc>
        <w:tc>
          <w:tcPr>
            <w:tcW w:w="9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Comprehensive (loss) income</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(8,556</w:t>
            </w:r>
          </w:p>
        </w:tc>
        <w:tc>
          <w:tcPr>
            <w:tcW w:w="9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1,246</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Comprehensive loss attributable to common stockholders</w:t>
            </w:r>
          </w:p>
        </w:tc>
        <w:tc>
          <w:tcPr>
            <w:tcW w:w="60" w:type="dxa"/>
            <w:tcBorders/>
            <w:vAlign w:val="bottom"/>
          </w:tcPr>
          <w:p>
            <w:pPr>
              <w:pStyle w:val="TableContents"/>
              <w:bidi w:val="0"/>
              <w:spacing w:before="0" w:after="283"/>
              <w:jc w:val="lef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(12,492</w:t>
            </w:r>
          </w:p>
        </w:tc>
        <w:tc>
          <w:tcPr>
            <w:tcW w:w="9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 w:type="dxa"/>
            <w:tcBorders/>
            <w:vAlign w:val="bottom"/>
          </w:tcPr>
          <w:p>
            <w:pPr>
              <w:pStyle w:val="TableContents"/>
              <w:bidi w:val="0"/>
              <w:spacing w:before="0" w:after="283"/>
              <w:jc w:val="lef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The accompanying footnotes are an integral part of these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rFonts w:ascii="Times New Roman" w:hAnsi="Times New Roman"/>
          <w:b/>
          <w:color w:val="000000"/>
          <w:sz w:val="20"/>
        </w:rPr>
      </w:pPr>
      <w:bookmarkStart w:id="137" w:name="PreferredStock"/>
      <w:bookmarkEnd w:id="137"/>
      <w:r>
        <w:rPr>
          <w:rFonts w:ascii="Times New Roman" w:hAnsi="Times New Roman"/>
          <w:b/>
          <w:color w:val="000000"/>
          <w:sz w:val="20"/>
        </w:rPr>
        <w:t>Condensed Consolidated Statements of Redeemable Convertible Preferred Stock and Stockholders’ Deficit</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 except share data)</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38" w:name="z69f2a8c5b5f34dc6b8f457b5f897e768"/>
      <w:bookmarkStart w:id="139" w:name="z69f2a8c5b5f34dc6b8f457b5f897e768"/>
      <w:bookmarkEnd w:id="139"/>
    </w:p>
    <w:tbl>
      <w:tblPr>
        <w:tblW w:w="10205" w:type="dxa"/>
        <w:jc w:val="left"/>
        <w:tblInd w:w="0" w:type="dxa"/>
        <w:tblLayout w:type="fixed"/>
        <w:tblCellMar>
          <w:top w:w="0" w:type="dxa"/>
          <w:left w:w="0" w:type="dxa"/>
          <w:bottom w:w="0" w:type="dxa"/>
          <w:right w:w="0" w:type="dxa"/>
        </w:tblCellMar>
      </w:tblPr>
      <w:tblGrid>
        <w:gridCol w:w="1145"/>
        <w:gridCol w:w="60"/>
        <w:gridCol w:w="60"/>
        <w:gridCol w:w="950"/>
        <w:gridCol w:w="60"/>
        <w:gridCol w:w="60"/>
        <w:gridCol w:w="125"/>
        <w:gridCol w:w="695"/>
        <w:gridCol w:w="60"/>
        <w:gridCol w:w="60"/>
        <w:gridCol w:w="60"/>
        <w:gridCol w:w="950"/>
        <w:gridCol w:w="60"/>
        <w:gridCol w:w="60"/>
        <w:gridCol w:w="225"/>
        <w:gridCol w:w="470"/>
        <w:gridCol w:w="60"/>
        <w:gridCol w:w="60"/>
        <w:gridCol w:w="188"/>
        <w:gridCol w:w="732"/>
        <w:gridCol w:w="60"/>
        <w:gridCol w:w="60"/>
        <w:gridCol w:w="322"/>
        <w:gridCol w:w="1018"/>
        <w:gridCol w:w="80"/>
        <w:gridCol w:w="60"/>
        <w:gridCol w:w="160"/>
        <w:gridCol w:w="970"/>
        <w:gridCol w:w="80"/>
        <w:gridCol w:w="60"/>
        <w:gridCol w:w="158"/>
        <w:gridCol w:w="957"/>
        <w:gridCol w:w="80"/>
      </w:tblGrid>
      <w:tr>
        <w:trPr/>
        <w:tc>
          <w:tcPr>
            <w:tcW w:w="1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0"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Redeemable convertible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25"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Additional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Paid-in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Accumulated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Other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Comprehensive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Accumulated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Stockholders’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Deficit</w:t>
            </w:r>
          </w:p>
        </w:tc>
        <w:tc>
          <w:tcPr>
            <w:tcW w:w="80"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114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Balance, January 1, 2025</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57,821,355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158,666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10,023,615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(106,573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(103,167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4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Stock-based compensation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w:t>
            </w:r>
          </w:p>
        </w:tc>
        <w:tc>
          <w:tcPr>
            <w:tcW w:w="80" w:type="dxa"/>
            <w:tcBorders/>
            <w:vAlign w:val="bottom"/>
          </w:tcPr>
          <w:p>
            <w:pPr>
              <w:pStyle w:val="TableContents"/>
              <w:bidi w:val="0"/>
              <w:spacing w:before="0" w:after="283"/>
              <w:jc w:val="left"/>
              <w:rPr/>
            </w:pPr>
            <w:r>
              <w:rPr/>
              <w:t> </w:t>
            </w:r>
          </w:p>
        </w:tc>
      </w:tr>
      <w:tr>
        <w:trPr/>
        <w:tc>
          <w:tcPr>
            <w:tcW w:w="114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Accretion of redeemable convertible preferred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4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Unrealized gains on short-term investments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w:t>
            </w:r>
          </w:p>
        </w:tc>
        <w:tc>
          <w:tcPr>
            <w:tcW w:w="80" w:type="dxa"/>
            <w:tcBorders/>
            <w:vAlign w:val="bottom"/>
          </w:tcPr>
          <w:p>
            <w:pPr>
              <w:pStyle w:val="TableContents"/>
              <w:bidi w:val="0"/>
              <w:spacing w:before="0" w:after="283"/>
              <w:jc w:val="left"/>
              <w:rPr/>
            </w:pPr>
            <w:r>
              <w:rPr/>
              <w:t> </w:t>
            </w:r>
          </w:p>
        </w:tc>
      </w:tr>
      <w:tr>
        <w:trPr/>
        <w:tc>
          <w:tcPr>
            <w:tcW w:w="114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Foreign currency translation adjustment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w:t>
            </w:r>
          </w:p>
        </w:tc>
        <w:tc>
          <w:tcPr>
            <w:tcW w:w="80" w:type="dxa"/>
            <w:tcBorders/>
            <w:shd w:fill="CCEEFF" w:val="clear"/>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Reclassification adjustment for gains included in 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4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1,204</w:t>
            </w:r>
          </w:p>
        </w:tc>
        <w:tc>
          <w:tcPr>
            <w:tcW w:w="80" w:type="dxa"/>
            <w:tcBorders/>
            <w:shd w:fill="CCEEFF" w:val="clear"/>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Balance, March 31, 2025</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57,821,355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162,231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10,023,615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7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6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(108,934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(105,170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4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Balance, January 1, 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57,821,355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173,467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10,023,615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7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(132,179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(127,391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4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Stock-based compensation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245</w:t>
            </w:r>
          </w:p>
        </w:tc>
        <w:tc>
          <w:tcPr>
            <w:tcW w:w="80" w:type="dxa"/>
            <w:tcBorders/>
            <w:vAlign w:val="bottom"/>
          </w:tcPr>
          <w:p>
            <w:pPr>
              <w:pStyle w:val="TableContents"/>
              <w:bidi w:val="0"/>
              <w:spacing w:before="0" w:after="283"/>
              <w:jc w:val="left"/>
              <w:rPr/>
            </w:pPr>
            <w:r>
              <w:rPr/>
              <w:t> </w:t>
            </w:r>
          </w:p>
        </w:tc>
      </w:tr>
      <w:tr>
        <w:trPr/>
        <w:tc>
          <w:tcPr>
            <w:tcW w:w="114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Accretion of redeemable convertible preferred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(3,936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(3,936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4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Unrealized loss on short-term investments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4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Reclassification adjustment for gains included in 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4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Foreign currency translation adjustment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222</w:t>
            </w:r>
          </w:p>
        </w:tc>
        <w:tc>
          <w:tcPr>
            <w:tcW w:w="80" w:type="dxa"/>
            <w:tcBorders/>
            <w:vAlign w:val="bottom"/>
          </w:tcPr>
          <w:p>
            <w:pPr>
              <w:pStyle w:val="TableContents"/>
              <w:bidi w:val="0"/>
              <w:spacing w:before="0" w:after="283"/>
              <w:jc w:val="left"/>
              <w:rPr/>
            </w:pPr>
            <w:r>
              <w:rPr/>
              <w:t> </w:t>
            </w:r>
          </w:p>
        </w:tc>
      </w:tr>
      <w:tr>
        <w:trPr/>
        <w:tc>
          <w:tcPr>
            <w:tcW w:w="114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(8,719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(8,719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4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Balance, March 31, 2026</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57,821,355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177,403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10,023,615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7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6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(144,834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5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(139,638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The accompanying footnotes are an integral part of these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rFonts w:ascii="Times New Roman" w:hAnsi="Times New Roman"/>
          <w:b/>
          <w:color w:val="000000"/>
          <w:sz w:val="20"/>
        </w:rPr>
      </w:pPr>
      <w:bookmarkStart w:id="140" w:name="CashFlows1"/>
      <w:bookmarkEnd w:id="140"/>
      <w:r>
        <w:rPr>
          <w:rFonts w:ascii="Times New Roman" w:hAnsi="Times New Roman"/>
          <w:b/>
          <w:color w:val="000000"/>
          <w:sz w:val="20"/>
        </w:rPr>
        <w:t>Condensed Consolidated Statements of Cash Flows</w:t>
      </w:r>
      <w:bookmarkStart w:id="141" w:name="CashFlows2"/>
      <w:bookmarkEnd w:id="141"/>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42" w:name="zb68a53d701b6495f95f28ab2185948e8"/>
      <w:bookmarkStart w:id="143" w:name="zb68a53d701b6495f95f28ab2185948e8"/>
      <w:bookmarkEnd w:id="143"/>
    </w:p>
    <w:tbl>
      <w:tblPr>
        <w:tblW w:w="9476" w:type="dxa"/>
        <w:jc w:val="left"/>
        <w:tblInd w:w="0" w:type="dxa"/>
        <w:tblLayout w:type="fixed"/>
        <w:tblCellMar>
          <w:top w:w="0" w:type="dxa"/>
          <w:left w:w="0" w:type="dxa"/>
          <w:bottom w:w="0" w:type="dxa"/>
          <w:right w:w="0" w:type="dxa"/>
        </w:tblCellMar>
      </w:tblPr>
      <w:tblGrid>
        <w:gridCol w:w="6695"/>
        <w:gridCol w:w="60"/>
        <w:gridCol w:w="210"/>
        <w:gridCol w:w="993"/>
        <w:gridCol w:w="134"/>
        <w:gridCol w:w="101"/>
        <w:gridCol w:w="210"/>
        <w:gridCol w:w="993"/>
        <w:gridCol w:w="80"/>
      </w:tblGrid>
      <w:tr>
        <w:trPr/>
        <w:tc>
          <w:tcPr>
            <w:tcW w:w="66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1"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March 31,</w:t>
            </w:r>
          </w:p>
        </w:tc>
        <w:tc>
          <w:tcPr>
            <w:tcW w:w="80" w:type="dxa"/>
            <w:tcBorders/>
            <w:vAlign w:val="bottom"/>
          </w:tcPr>
          <w:p>
            <w:pPr>
              <w:pStyle w:val="TableContents"/>
              <w:bidi w:val="0"/>
              <w:spacing w:before="0" w:after="283"/>
              <w:jc w:val="left"/>
              <w:rPr/>
            </w:pPr>
            <w:r>
              <w:rPr/>
              <w:t> </w:t>
            </w:r>
          </w:p>
        </w:tc>
      </w:tr>
      <w:tr>
        <w:trPr/>
        <w:tc>
          <w:tcPr>
            <w:tcW w:w="66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3"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203"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r>
      <w:tr>
        <w:trPr/>
        <w:tc>
          <w:tcPr>
            <w:tcW w:w="66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669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Cash flows from operating activities:</w:t>
            </w:r>
          </w:p>
        </w:tc>
        <w:tc>
          <w:tcPr>
            <w:tcW w:w="60"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66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 income</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(8,719</w:t>
            </w:r>
          </w:p>
        </w:tc>
        <w:tc>
          <w:tcPr>
            <w:tcW w:w="13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1,204</w:t>
            </w:r>
          </w:p>
        </w:tc>
        <w:tc>
          <w:tcPr>
            <w:tcW w:w="80" w:type="dxa"/>
            <w:tcBorders/>
            <w:shd w:fill="CCEEFF" w:val="clear"/>
            <w:vAlign w:val="bottom"/>
          </w:tcPr>
          <w:p>
            <w:pPr>
              <w:pStyle w:val="TableContents"/>
              <w:bidi w:val="0"/>
              <w:spacing w:before="0" w:after="283"/>
              <w:jc w:val="left"/>
              <w:rPr/>
            </w:pPr>
            <w:r>
              <w:rPr/>
              <w:t> </w:t>
            </w:r>
          </w:p>
        </w:tc>
      </w:tr>
      <w:tr>
        <w:trPr/>
        <w:tc>
          <w:tcPr>
            <w:tcW w:w="66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69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245</w:t>
            </w:r>
          </w:p>
        </w:tc>
        <w:tc>
          <w:tcPr>
            <w:tcW w:w="13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w:t>
            </w:r>
          </w:p>
        </w:tc>
        <w:tc>
          <w:tcPr>
            <w:tcW w:w="80" w:type="dxa"/>
            <w:tcBorders/>
            <w:shd w:fill="CCEEFF" w:val="clear"/>
            <w:vAlign w:val="bottom"/>
          </w:tcPr>
          <w:p>
            <w:pPr>
              <w:pStyle w:val="TableContents"/>
              <w:bidi w:val="0"/>
              <w:spacing w:before="0" w:after="283"/>
              <w:jc w:val="left"/>
              <w:rPr/>
            </w:pPr>
            <w:r>
              <w:rPr/>
              <w:t> </w:t>
            </w:r>
          </w:p>
        </w:tc>
      </w:tr>
      <w:tr>
        <w:trPr/>
        <w:tc>
          <w:tcPr>
            <w:tcW w:w="669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Non-cash operating lease expenses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240</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233</w:t>
            </w:r>
          </w:p>
        </w:tc>
        <w:tc>
          <w:tcPr>
            <w:tcW w:w="80" w:type="dxa"/>
            <w:tcBorders/>
            <w:vAlign w:val="bottom"/>
          </w:tcPr>
          <w:p>
            <w:pPr>
              <w:pStyle w:val="TableContents"/>
              <w:bidi w:val="0"/>
              <w:spacing w:before="0" w:after="283"/>
              <w:jc w:val="left"/>
              <w:rPr/>
            </w:pPr>
            <w:r>
              <w:rPr/>
              <w:t> </w:t>
            </w:r>
          </w:p>
        </w:tc>
      </w:tr>
      <w:tr>
        <w:trPr/>
        <w:tc>
          <w:tcPr>
            <w:tcW w:w="669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w:t>
            </w:r>
          </w:p>
        </w:tc>
        <w:tc>
          <w:tcPr>
            <w:tcW w:w="13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190</w:t>
            </w:r>
          </w:p>
        </w:tc>
        <w:tc>
          <w:tcPr>
            <w:tcW w:w="80" w:type="dxa"/>
            <w:tcBorders/>
            <w:shd w:fill="CCEEFF" w:val="clear"/>
            <w:vAlign w:val="bottom"/>
          </w:tcPr>
          <w:p>
            <w:pPr>
              <w:pStyle w:val="TableContents"/>
              <w:bidi w:val="0"/>
              <w:spacing w:before="0" w:after="283"/>
              <w:jc w:val="left"/>
              <w:rPr/>
            </w:pPr>
            <w:r>
              <w:rPr/>
              <w:t> </w:t>
            </w:r>
          </w:p>
        </w:tc>
      </w:tr>
      <w:tr>
        <w:trPr/>
        <w:tc>
          <w:tcPr>
            <w:tcW w:w="669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Accretion of premium or discount on short-term investments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9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Foreign currency exchange gain</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w:t>
            </w:r>
          </w:p>
        </w:tc>
        <w:tc>
          <w:tcPr>
            <w:tcW w:w="13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9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Transaction costs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3,865</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r>
      <w:tr>
        <w:trPr/>
        <w:tc>
          <w:tcPr>
            <w:tcW w:w="669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w:t>
            </w:r>
          </w:p>
        </w:tc>
        <w:tc>
          <w:tcPr>
            <w:tcW w:w="13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c>
          <w:tcPr>
            <w:tcW w:w="80" w:type="dxa"/>
            <w:tcBorders/>
            <w:shd w:fill="CCEEFF" w:val="clear"/>
            <w:vAlign w:val="bottom"/>
          </w:tcPr>
          <w:p>
            <w:pPr>
              <w:pStyle w:val="TableContents"/>
              <w:bidi w:val="0"/>
              <w:spacing w:before="0" w:after="283"/>
              <w:jc w:val="left"/>
              <w:rPr/>
            </w:pPr>
            <w:r>
              <w:rPr/>
              <w:t> </w:t>
            </w:r>
          </w:p>
        </w:tc>
      </w:tr>
      <w:tr>
        <w:trPr/>
        <w:tc>
          <w:tcPr>
            <w:tcW w:w="66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69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Prepaid expense and other current assets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512</w:t>
            </w:r>
          </w:p>
        </w:tc>
        <w:tc>
          <w:tcPr>
            <w:tcW w:w="13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9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Amounts due from related parties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color w:val="000000"/>
              </w:rPr>
            </w:pPr>
            <w:r>
              <w:rPr>
                <w:color w:val="000000"/>
              </w:rPr>
              <w:t>—</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w:t>
            </w:r>
          </w:p>
        </w:tc>
        <w:tc>
          <w:tcPr>
            <w:tcW w:w="80" w:type="dxa"/>
            <w:tcBorders/>
            <w:vAlign w:val="bottom"/>
          </w:tcPr>
          <w:p>
            <w:pPr>
              <w:pStyle w:val="TableContents"/>
              <w:bidi w:val="0"/>
              <w:spacing w:before="0" w:after="283"/>
              <w:jc w:val="left"/>
              <w:rPr/>
            </w:pPr>
            <w:r>
              <w:rPr/>
              <w:t> </w:t>
            </w:r>
          </w:p>
        </w:tc>
      </w:tr>
      <w:tr>
        <w:trPr/>
        <w:tc>
          <w:tcPr>
            <w:tcW w:w="669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Accounts payable</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327</w:t>
            </w:r>
          </w:p>
        </w:tc>
        <w:tc>
          <w:tcPr>
            <w:tcW w:w="13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895</w:t>
            </w:r>
          </w:p>
        </w:tc>
        <w:tc>
          <w:tcPr>
            <w:tcW w:w="80" w:type="dxa"/>
            <w:tcBorders/>
            <w:shd w:fill="CCEEFF" w:val="clear"/>
            <w:vAlign w:val="bottom"/>
          </w:tcPr>
          <w:p>
            <w:pPr>
              <w:pStyle w:val="TableContents"/>
              <w:bidi w:val="0"/>
              <w:spacing w:before="0" w:after="283"/>
              <w:jc w:val="left"/>
              <w:rPr/>
            </w:pPr>
            <w:r>
              <w:rPr/>
              <w:t> </w:t>
            </w:r>
          </w:p>
        </w:tc>
      </w:tr>
      <w:tr>
        <w:trPr/>
        <w:tc>
          <w:tcPr>
            <w:tcW w:w="669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Deferred revenue</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(1,100</w:t>
            </w:r>
          </w:p>
        </w:tc>
        <w:tc>
          <w:tcPr>
            <w:tcW w:w="13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(6,251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9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(241</w:t>
            </w:r>
          </w:p>
        </w:tc>
        <w:tc>
          <w:tcPr>
            <w:tcW w:w="13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w:t>
            </w:r>
          </w:p>
        </w:tc>
        <w:tc>
          <w:tcPr>
            <w:tcW w:w="80" w:type="dxa"/>
            <w:tcBorders/>
            <w:shd w:fill="CCEEFF" w:val="clear"/>
            <w:vAlign w:val="bottom"/>
          </w:tcPr>
          <w:p>
            <w:pPr>
              <w:pStyle w:val="TableContents"/>
              <w:bidi w:val="0"/>
              <w:spacing w:before="0" w:after="283"/>
              <w:jc w:val="left"/>
              <w:rPr/>
            </w:pPr>
            <w:r>
              <w:rPr/>
              <w:t> </w:t>
            </w:r>
          </w:p>
        </w:tc>
      </w:tr>
      <w:tr>
        <w:trPr/>
        <w:tc>
          <w:tcPr>
            <w:tcW w:w="669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Operating lease liabilities</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(222</w:t>
            </w:r>
          </w:p>
        </w:tc>
        <w:tc>
          <w:tcPr>
            <w:tcW w:w="13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cash used in operating activities</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(4,784</w:t>
            </w:r>
          </w:p>
        </w:tc>
        <w:tc>
          <w:tcPr>
            <w:tcW w:w="13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(4,259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9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Cash flows from investing activities: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6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Purchase of property and equipment</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w:t>
            </w:r>
          </w:p>
        </w:tc>
        <w:tc>
          <w:tcPr>
            <w:tcW w:w="13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Purchase of available-for-sale securities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(2,032</w:t>
            </w:r>
          </w:p>
        </w:tc>
        <w:tc>
          <w:tcPr>
            <w:tcW w:w="13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(4,548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Purchase of time deposits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w:t>
            </w:r>
          </w:p>
        </w:tc>
        <w:tc>
          <w:tcPr>
            <w:tcW w:w="13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Proceeds from disposal of property, plant and equipment</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color w:val="000000"/>
              </w:rPr>
            </w:pPr>
            <w:r>
              <w:rPr>
                <w:color w:val="000000"/>
              </w:rPr>
              <w:t>—</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80" w:type="dxa"/>
            <w:tcBorders/>
            <w:vAlign w:val="bottom"/>
          </w:tcPr>
          <w:p>
            <w:pPr>
              <w:pStyle w:val="TableContents"/>
              <w:bidi w:val="0"/>
              <w:spacing w:before="0" w:after="283"/>
              <w:jc w:val="left"/>
              <w:rPr/>
            </w:pPr>
            <w:r>
              <w:rPr/>
              <w:t> </w:t>
            </w:r>
          </w:p>
        </w:tc>
      </w:tr>
      <w:tr>
        <w:trPr/>
        <w:tc>
          <w:tcPr>
            <w:tcW w:w="66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Proceeds of available-for-sale securities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7,991</w:t>
            </w:r>
          </w:p>
        </w:tc>
        <w:tc>
          <w:tcPr>
            <w:tcW w:w="13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5,747</w:t>
            </w:r>
          </w:p>
        </w:tc>
        <w:tc>
          <w:tcPr>
            <w:tcW w:w="80" w:type="dxa"/>
            <w:tcBorders/>
            <w:shd w:fill="CCEEFF" w:val="clear"/>
            <w:vAlign w:val="bottom"/>
          </w:tcPr>
          <w:p>
            <w:pPr>
              <w:pStyle w:val="TableContents"/>
              <w:bidi w:val="0"/>
              <w:spacing w:before="0" w:after="283"/>
              <w:jc w:val="left"/>
              <w:rPr/>
            </w:pPr>
            <w:r>
              <w:rPr/>
              <w:t> </w:t>
            </w:r>
          </w:p>
        </w:tc>
      </w:tr>
      <w:tr>
        <w:trPr/>
        <w:tc>
          <w:tcPr>
            <w:tcW w:w="66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Proceeds of time deposits</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6,000</w:t>
            </w:r>
          </w:p>
        </w:tc>
        <w:tc>
          <w:tcPr>
            <w:tcW w:w="80" w:type="dxa"/>
            <w:tcBorders/>
            <w:vAlign w:val="bottom"/>
          </w:tcPr>
          <w:p>
            <w:pPr>
              <w:pStyle w:val="TableContents"/>
              <w:bidi w:val="0"/>
              <w:spacing w:before="0" w:after="283"/>
              <w:jc w:val="left"/>
              <w:rPr/>
            </w:pPr>
            <w:r>
              <w:rPr/>
              <w:t> </w:t>
            </w:r>
          </w:p>
        </w:tc>
      </w:tr>
      <w:tr>
        <w:trPr/>
        <w:tc>
          <w:tcPr>
            <w:tcW w:w="66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cash provided by investing activities</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5,904</w:t>
            </w:r>
          </w:p>
        </w:tc>
        <w:tc>
          <w:tcPr>
            <w:tcW w:w="13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4,102</w:t>
            </w:r>
          </w:p>
        </w:tc>
        <w:tc>
          <w:tcPr>
            <w:tcW w:w="80" w:type="dxa"/>
            <w:tcBorders/>
            <w:shd w:fill="CCEEFF" w:val="clear"/>
            <w:vAlign w:val="bottom"/>
          </w:tcPr>
          <w:p>
            <w:pPr>
              <w:pStyle w:val="TableContents"/>
              <w:bidi w:val="0"/>
              <w:spacing w:before="0" w:after="283"/>
              <w:jc w:val="left"/>
              <w:rPr/>
            </w:pPr>
            <w:r>
              <w:rPr/>
              <w:t> </w:t>
            </w:r>
          </w:p>
        </w:tc>
      </w:tr>
      <w:tr>
        <w:trPr/>
        <w:tc>
          <w:tcPr>
            <w:tcW w:w="669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Cash flows from financing activities: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6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Payments of transaction costs</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3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cash used in financing activities</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Effect of exchange rate changes on cash, cash equivalents</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w:t>
            </w:r>
          </w:p>
        </w:tc>
        <w:tc>
          <w:tcPr>
            <w:tcW w:w="13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w:t>
            </w:r>
          </w:p>
        </w:tc>
        <w:tc>
          <w:tcPr>
            <w:tcW w:w="80" w:type="dxa"/>
            <w:tcBorders/>
            <w:shd w:fill="CCEEFF" w:val="clear"/>
            <w:vAlign w:val="bottom"/>
          </w:tcPr>
          <w:p>
            <w:pPr>
              <w:pStyle w:val="TableContents"/>
              <w:bidi w:val="0"/>
              <w:spacing w:before="0" w:after="283"/>
              <w:jc w:val="left"/>
              <w:rPr/>
            </w:pPr>
            <w:r>
              <w:rPr/>
              <w:t> </w:t>
            </w:r>
          </w:p>
        </w:tc>
      </w:tr>
      <w:tr>
        <w:trPr/>
        <w:tc>
          <w:tcPr>
            <w:tcW w:w="669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Net increase (decrease) in cash and cash equivalents</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1,120</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12,122</w:t>
            </w:r>
          </w:p>
        </w:tc>
        <w:tc>
          <w:tcPr>
            <w:tcW w:w="13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27,235</w:t>
            </w:r>
          </w:p>
        </w:tc>
        <w:tc>
          <w:tcPr>
            <w:tcW w:w="80" w:type="dxa"/>
            <w:tcBorders/>
            <w:shd w:fill="CCEEFF" w:val="clear"/>
            <w:vAlign w:val="bottom"/>
          </w:tcPr>
          <w:p>
            <w:pPr>
              <w:pStyle w:val="TableContents"/>
              <w:bidi w:val="0"/>
              <w:spacing w:before="0" w:after="283"/>
              <w:jc w:val="left"/>
              <w:rPr/>
            </w:pPr>
            <w:r>
              <w:rPr/>
              <w:t> </w:t>
            </w:r>
          </w:p>
        </w:tc>
      </w:tr>
      <w:tr>
        <w:trPr/>
        <w:tc>
          <w:tcPr>
            <w:tcW w:w="66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Cash and cash equivalents at end of period</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13,322</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26,098</w:t>
            </w:r>
          </w:p>
        </w:tc>
        <w:tc>
          <w:tcPr>
            <w:tcW w:w="80" w:type="dxa"/>
            <w:tcBorders/>
            <w:vAlign w:val="bottom"/>
          </w:tcPr>
          <w:p>
            <w:pPr>
              <w:pStyle w:val="TableContents"/>
              <w:bidi w:val="0"/>
              <w:spacing w:before="0" w:after="283"/>
              <w:jc w:val="left"/>
              <w:rPr/>
            </w:pPr>
            <w:r>
              <w:rPr/>
              <w:t> </w:t>
            </w:r>
          </w:p>
        </w:tc>
      </w:tr>
      <w:tr>
        <w:trPr/>
        <w:tc>
          <w:tcPr>
            <w:tcW w:w="669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6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 returned</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1,110</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w:t>
            </w:r>
          </w:p>
        </w:tc>
        <w:tc>
          <w:tcPr>
            <w:tcW w:w="80" w:type="dxa"/>
            <w:tcBorders/>
            <w:vAlign w:val="bottom"/>
          </w:tcPr>
          <w:p>
            <w:pPr>
              <w:pStyle w:val="TableContents"/>
              <w:bidi w:val="0"/>
              <w:spacing w:before="0" w:after="283"/>
              <w:jc w:val="left"/>
              <w:rPr/>
            </w:pPr>
            <w:r>
              <w:rPr/>
              <w:t> </w:t>
            </w:r>
          </w:p>
        </w:tc>
      </w:tr>
      <w:tr>
        <w:trPr/>
        <w:tc>
          <w:tcPr>
            <w:tcW w:w="669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Supplemental disclosure of non-cash operating activities: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6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Right-of-use assets obtained in exchange for operating lease liabilities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380</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1,442</w:t>
            </w:r>
          </w:p>
        </w:tc>
        <w:tc>
          <w:tcPr>
            <w:tcW w:w="80" w:type="dxa"/>
            <w:tcBorders/>
            <w:vAlign w:val="bottom"/>
          </w:tcPr>
          <w:p>
            <w:pPr>
              <w:pStyle w:val="TableContents"/>
              <w:bidi w:val="0"/>
              <w:spacing w:before="0" w:after="283"/>
              <w:jc w:val="left"/>
              <w:rPr/>
            </w:pPr>
            <w:r>
              <w:rPr/>
              <w:t> </w:t>
            </w:r>
          </w:p>
        </w:tc>
      </w:tr>
      <w:tr>
        <w:trPr/>
        <w:tc>
          <w:tcPr>
            <w:tcW w:w="669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6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Accretion of redeemable convertible preferred stock</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3,936</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3,565</w:t>
            </w:r>
          </w:p>
        </w:tc>
        <w:tc>
          <w:tcPr>
            <w:tcW w:w="80" w:type="dxa"/>
            <w:tcBorders/>
            <w:vAlign w:val="bottom"/>
          </w:tcPr>
          <w:p>
            <w:pPr>
              <w:pStyle w:val="TableContents"/>
              <w:bidi w:val="0"/>
              <w:spacing w:before="0" w:after="283"/>
              <w:jc w:val="left"/>
              <w:rPr/>
            </w:pPr>
            <w:r>
              <w:rPr/>
              <w:t> </w:t>
            </w:r>
          </w:p>
        </w:tc>
      </w:tr>
      <w:tr>
        <w:trPr/>
        <w:tc>
          <w:tcPr>
            <w:tcW w:w="66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Unpaid transaction costs included in accrued expenses and other current liabilities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208</w:t>
            </w:r>
          </w:p>
        </w:tc>
        <w:tc>
          <w:tcPr>
            <w:tcW w:w="13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564</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The accompanying footnotes are an integral part of these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Cullgen Inc.</w:t>
      </w:r>
    </w:p>
    <w:p>
      <w:pPr>
        <w:pStyle w:val="TextBody"/>
        <w:bidi w:val="0"/>
        <w:spacing w:before="0" w:after="0"/>
        <w:jc w:val="center"/>
        <w:rPr>
          <w:rFonts w:ascii="Times New Roman" w:hAnsi="Times New Roman"/>
          <w:b/>
          <w:color w:val="000000"/>
          <w:sz w:val="20"/>
        </w:rPr>
      </w:pPr>
      <w:bookmarkStart w:id="144" w:name="NotestoCondensedConsolida"/>
      <w:bookmarkEnd w:id="144"/>
      <w:r>
        <w:rPr>
          <w:rFonts w:ascii="Times New Roman" w:hAnsi="Times New Roman"/>
          <w:b/>
          <w:color w:val="000000"/>
          <w:sz w:val="20"/>
        </w:rPr>
        <w:t>Notes to Condensed Consolidated Financial Statements (Unaudited)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 Description of Business and Liquidity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Cullgen Inc., or together with its subsidiaries, the Company, was incorporated in the state of Delaware on January 12, 2018. The Company is a biopharmaceutical company dedicated to the development of medicines for the treatment of diseases lacking effective therapeutic approaches. The Company is headquartered in San Diego, California.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May 4, 2026 (the “Merger Closing Date”), the Company was acquired by Gyre Therapeutics, Inc., a Delaware corporation (“Gyre”), in accordance with the terms of the Agreement and Plan of Merger and Reorganization, dated March 2, 2026 (the “Merger Agreement”), by and among the Company, Gyre and Helix Merger Sub Corp., a Delaware corporation and wholly owned subsidiary of Gyre (“Merger Sub”). Pursuant to the Merger Agreement, among other matters, Merger Sub merged with and into the Company, with the Company continuing as a wholly owned subsidiary of Gyre and the surviving corporation of the merger (the “Merger”). See Note 14 — Subsequent Events.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is subject to risks common to companies in the biopharmaceutical industry, including but not limited to, the need for additional capital, risks of failure of preclinical studies and clinical trials, dependence on key personnel, protection of proprietary technology, and development of technological innovations by competitors.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Since its inception, the Company’s primary activities have been focused on performing research and development activities, building the Company’s intellectual property, recruiting personnel, and raising capital to support these activities. To date, the Company has funded its operations primarily with proceeds received from the issuances of redeemable convertible preferred stock and common stock, and through its collaboration agreements.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has incurred recurring losses since its inception. As of March 31, 2026 and December 31, 2025, the Company had an accumulated deficit of $144,834 and $132,179, respectively. To date, the Company has not generated any revenue from product sales as none of its product candidates has been approved for commercialization. The Company expects to continue to generate operating losses for the foreseeable future.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currently expects that its existing cash, cash equivalents and short-term investments will be sufficient to fund operating expenses and capital requirements for at least the next 12 months. However, the Company may potentially continue to have an ongoing need to raise additional cash from outside sources to fund its operations. The Company plans to continue to fund its operations through capital raising, collaborations or partnerships with other companies.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Basis of Presentation and Consolidation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accompanying consolidated financial statements of the Group are prepared in accordance with U.S generally accepted accounting principles (“U.S. GAAP”) and include the accounts of the Company and its subsidiaries. All intercompany balances, transactions, and profits are eliminated through the preparation of the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interim condensed consolidated balance sheet as of March 31, 2026, the interim condensed consolidated statements of comprehensive loss, changes in shareholders’ redeemable convertible preferred stock and stockholders’ deficit and cash flows for the three months ended March 31, 2025 and 2026, and the related footnote disclosures are unaudited. These unaudited interim condensed consolidated financial statements are prepared in accordance with U.S. GAAP for interim financial statements using accounting policies that are consistent with those used in the preparation of the Company’s audited consolidated financial statements for the year ended December 31, 2025. Accordingly, these unaudited interim condensed consolidated financial statements do not include all of the information and footnotes required by U.S. GAAP for annual financial statements. These financial statements should be read in conjunction with the Company’s consolidated financial statements and related footnotes for the year ended December 31, 2025. The results for the three months ended March 31, 2026 are not necessarily indicative of the results expected for the year ending December 31, 2026 or any future period.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most significant estimates include revenue recognition, accruals for research and development expenses, valuation of stock-based compensation awards, and estimating the incremental borrowing rate for leases. Actual results may differ materially and adversely from the Company’s estimates. To the extent there are material differences between the estimates and actual results, the Company’s future results of operations will be affected.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Certain assets and liabilities are carried at fair value under U.S. GAAP.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400" w:right="0" w:hanging="0"/>
        <w:jc w:val="left"/>
        <w:rPr>
          <w:rFonts w:ascii="Times New Roman" w:hAnsi="Times New Roman"/>
          <w:i/>
          <w:color w:val="000000"/>
          <w:sz w:val="20"/>
        </w:rPr>
      </w:pPr>
      <w:r>
        <w:rPr>
          <w:rFonts w:ascii="Times New Roman" w:hAnsi="Times New Roman"/>
          <w:i/>
          <w:color w:val="000000"/>
          <w:sz w:val="20"/>
        </w:rPr>
        <w:t>Level 1 — This level consists of quoted prices in active markets for identical assets or liabilities.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400" w:right="0" w:hanging="0"/>
        <w:jc w:val="left"/>
        <w:rPr>
          <w:rFonts w:ascii="Times New Roman" w:hAnsi="Times New Roman"/>
          <w:i/>
          <w:color w:val="000000"/>
          <w:sz w:val="20"/>
        </w:rPr>
      </w:pPr>
      <w:r>
        <w:rPr>
          <w:rFonts w:ascii="Times New Roman" w:hAnsi="Times New Roman"/>
          <w:i/>
          <w:color w:val="000000"/>
          <w:sz w:val="20"/>
        </w:rPr>
        <w:t>Level 2 — This level consists of quoted prices in markets that are not considered to be active or financial instruments for which all significant inputs are observable, either directly or indirectly.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400" w:right="0" w:hanging="0"/>
        <w:jc w:val="left"/>
        <w:rPr>
          <w:rFonts w:ascii="Times New Roman" w:hAnsi="Times New Roman"/>
          <w:i/>
          <w:color w:val="000000"/>
          <w:sz w:val="20"/>
        </w:rPr>
      </w:pPr>
      <w:r>
        <w:rPr>
          <w:rFonts w:ascii="Times New Roman" w:hAnsi="Times New Roman"/>
          <w:i/>
          <w:color w:val="000000"/>
          <w:sz w:val="20"/>
        </w:rPr>
        <w:t>Level 3 — This level consists of unobservable inputs in situations where there is little or no market activity of the asset and liability, and the reporting entity makes estimates of assumptions relating to the pricing of the asset or liability, including assumptions regarding risk.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Company’s cash equivalents and short-term investments are carried at fair value, determined according to the fair value hierarchy described above. The carrying values reported in the Company’s consolidated balance sheets for cash, accounts payable, and accrued expenses are reasonable estimates of their fair values due to the short-term nature of these items.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Basic net loss per share is calculated by dividing the net loss attributable to common stockholders by the weighted-average number of shares of common stock outstanding for the period, without consideration for potential dilutive common shares, using the two-class method.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Under the two-class method, net income is allocated between common stock and participating securities based on dividends declared or accumulated and participating rights in undistributed earnings as if all the earnings for the reporting period had been distributed.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Company’s participating securities do not share in losses of the Company. Therefore, the basic net loss per share is the same as diluted net loss per share as the inclusion of all potentially dilutive securities would have been anti-dilutive given the net loss of the Company for all the periods presented.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(“ASU 2024-03”) which requires enhanced disclosure of specified categories of expenses included in certain expense captions presented on the face of the income statement. This guidance will be effective for fiscal years beginning after December 15, 2026, and for interim periods beginning after December 15, 2027. The Company is currently evaluating the new guidance to determine its adoption approach and the impact on the presentation and disclosures of its consolidated statements of operations and comprehensive loss.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 Fair Value Measurements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tables present the Company’s fair value hierarchy for its assets and liabilities that are measured at fair value on a recurring basis (in thousands):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45" w:name="z71de6ff6e93047879e84fa2727bfa051"/>
      <w:bookmarkStart w:id="146" w:name="z71de6ff6e93047879e84fa2727bfa051"/>
      <w:bookmarkEnd w:id="146"/>
    </w:p>
    <w:tbl>
      <w:tblPr>
        <w:tblW w:w="7039" w:type="dxa"/>
        <w:jc w:val="left"/>
        <w:tblInd w:w="0" w:type="dxa"/>
        <w:tblLayout w:type="fixed"/>
        <w:tblCellMar>
          <w:top w:w="0" w:type="dxa"/>
          <w:left w:w="0" w:type="dxa"/>
          <w:bottom w:w="0" w:type="dxa"/>
          <w:right w:w="0" w:type="dxa"/>
        </w:tblCellMar>
      </w:tblPr>
      <w:tblGrid>
        <w:gridCol w:w="2810"/>
        <w:gridCol w:w="60"/>
        <w:gridCol w:w="180"/>
        <w:gridCol w:w="700"/>
        <w:gridCol w:w="86"/>
        <w:gridCol w:w="86"/>
        <w:gridCol w:w="180"/>
        <w:gridCol w:w="852"/>
        <w:gridCol w:w="86"/>
        <w:gridCol w:w="86"/>
        <w:gridCol w:w="210"/>
        <w:gridCol w:w="439"/>
        <w:gridCol w:w="86"/>
        <w:gridCol w:w="86"/>
        <w:gridCol w:w="180"/>
        <w:gridCol w:w="852"/>
        <w:gridCol w:w="60"/>
      </w:tblGrid>
      <w:tr>
        <w:trPr/>
        <w:tc>
          <w:tcPr>
            <w:tcW w:w="28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9" w:type="dxa"/>
            <w:gridSpan w:val="14"/>
            <w:tcBorders>
              <w:bottom w:val="single" w:sz="12" w:space="0" w:color="000000"/>
            </w:tcBorders>
            <w:tcMar>
              <w:bottom w:w="28" w:type="dxa"/>
            </w:tcMar>
            <w:vAlign w:val="center"/>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Fair Value Measurements as of March 31, 2026</w:t>
            </w:r>
          </w:p>
        </w:tc>
        <w:tc>
          <w:tcPr>
            <w:tcW w:w="6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Level 1</w:t>
            </w:r>
          </w:p>
        </w:tc>
        <w:tc>
          <w:tcPr>
            <w:tcW w:w="86"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right"/>
              <w:rPr/>
            </w:pPr>
            <w:r>
              <w:rPr/>
              <w:t> </w:t>
            </w:r>
          </w:p>
        </w:tc>
        <w:tc>
          <w:tcPr>
            <w:tcW w:w="1032" w:type="dxa"/>
            <w:gridSpan w:val="2"/>
            <w:tcBorders>
              <w:bottom w:val="single" w:sz="12" w:space="0" w:color="000000"/>
            </w:tcBorders>
            <w:tcMar>
              <w:bottom w:w="28" w:type="dxa"/>
            </w:tcMar>
            <w:vAlign w:val="center"/>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Level 2</w:t>
            </w:r>
          </w:p>
        </w:tc>
        <w:tc>
          <w:tcPr>
            <w:tcW w:w="86"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right"/>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Level 3</w:t>
            </w:r>
          </w:p>
        </w:tc>
        <w:tc>
          <w:tcPr>
            <w:tcW w:w="86"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right"/>
              <w:rPr/>
            </w:pPr>
            <w:r>
              <w:rPr/>
              <w:t> </w:t>
            </w:r>
          </w:p>
        </w:tc>
        <w:tc>
          <w:tcPr>
            <w:tcW w:w="1032" w:type="dxa"/>
            <w:gridSpan w:val="2"/>
            <w:tcBorders>
              <w:bottom w:val="single" w:sz="12" w:space="0" w:color="000000"/>
            </w:tcBorders>
            <w:tcMar>
              <w:bottom w:w="28" w:type="dxa"/>
            </w:tcMar>
            <w:vAlign w:val="center"/>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Total</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Assets:</w:t>
            </w:r>
          </w:p>
        </w:tc>
        <w:tc>
          <w:tcPr>
            <w:tcW w:w="60" w:type="dxa"/>
            <w:tcBorders/>
            <w:shd w:fill="CCEEFF" w:val="clear"/>
            <w:vAlign w:val="bottom"/>
          </w:tcPr>
          <w:p>
            <w:pPr>
              <w:pStyle w:val="TableContents"/>
              <w:bidi w:val="0"/>
              <w:spacing w:before="0" w:after="283"/>
              <w:jc w:val="left"/>
              <w:rPr/>
            </w:pPr>
            <w:r>
              <w:rPr/>
              <w:t> </w:t>
            </w:r>
          </w:p>
        </w:tc>
        <w:tc>
          <w:tcPr>
            <w:tcW w:w="880" w:type="dxa"/>
            <w:gridSpan w:val="2"/>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32" w:type="dxa"/>
            <w:gridSpan w:val="2"/>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649" w:type="dxa"/>
            <w:gridSpan w:val="2"/>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32"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Cash equivalents</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32" w:type="dxa"/>
            <w:gridSpan w:val="2"/>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49" w:type="dxa"/>
            <w:gridSpan w:val="2"/>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3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Money market funds</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3,473</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2" w:type="dxa"/>
            <w:tcBorders/>
            <w:shd w:fill="CCEEFF" w:val="clear"/>
            <w:vAlign w:val="bottom"/>
          </w:tcPr>
          <w:p>
            <w:pPr>
              <w:pStyle w:val="TableContents"/>
              <w:bidi w:val="0"/>
              <w:spacing w:before="0" w:after="0"/>
              <w:jc w:val="right"/>
              <w:rPr>
                <w:color w:val="000000"/>
              </w:rPr>
            </w:pPr>
            <w:r>
              <w:rPr>
                <w:color w:val="000000"/>
              </w:rPr>
              <w:t>—</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39" w:type="dxa"/>
            <w:tcBorders/>
            <w:shd w:fill="CCEEFF" w:val="clear"/>
            <w:vAlign w:val="bottom"/>
          </w:tcPr>
          <w:p>
            <w:pPr>
              <w:pStyle w:val="TableContents"/>
              <w:bidi w:val="0"/>
              <w:spacing w:before="0" w:after="0"/>
              <w:jc w:val="right"/>
              <w:rPr>
                <w:color w:val="000000"/>
              </w:rPr>
            </w:pPr>
            <w:r>
              <w:rPr>
                <w:color w:val="000000"/>
              </w:rPr>
              <w:t>—</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3,473</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Short-term investments</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Time deposit</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 </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 </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 </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Available-for-sale securities</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U.S. government agency securities</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0"/>
              <w:jc w:val="right"/>
              <w:rPr>
                <w:color w:val="000000"/>
              </w:rPr>
            </w:pPr>
            <w:r>
              <w:rPr>
                <w:color w:val="000000"/>
              </w:rPr>
              <w:t>—</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2,016</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0"/>
              <w:jc w:val="right"/>
              <w:rPr>
                <w:color w:val="000000"/>
              </w:rPr>
            </w:pPr>
            <w:r>
              <w:rPr>
                <w:color w:val="000000"/>
              </w:rPr>
              <w:t>—</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2,016</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Corporate debt securities</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0"/>
              <w:jc w:val="right"/>
              <w:rPr>
                <w:color w:val="000000"/>
              </w:rPr>
            </w:pPr>
            <w:r>
              <w:rPr>
                <w:color w:val="000000"/>
              </w:rPr>
              <w:t>—</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18,026</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0"/>
              <w:jc w:val="right"/>
              <w:rPr>
                <w:color w:val="000000"/>
              </w:rPr>
            </w:pPr>
            <w:r>
              <w:rPr>
                <w:color w:val="000000"/>
              </w:rPr>
              <w:t>—</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18,026</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Commercial paper</w:t>
            </w:r>
          </w:p>
        </w:tc>
        <w:tc>
          <w:tcPr>
            <w:tcW w:w="60" w:type="dxa"/>
            <w:tcBorders/>
            <w:shd w:fill="CCEEFF" w:val="clear"/>
            <w:vAlign w:val="bottom"/>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1,956</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1,956</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assets</w:t>
            </w:r>
          </w:p>
        </w:tc>
        <w:tc>
          <w:tcPr>
            <w:tcW w:w="60" w:type="dxa"/>
            <w:tcBorders/>
            <w:vAlign w:val="bottom"/>
          </w:tcPr>
          <w:p>
            <w:pPr>
              <w:pStyle w:val="TableContents"/>
              <w:bidi w:val="0"/>
              <w:spacing w:before="0" w:after="283"/>
              <w:jc w:val="left"/>
              <w:rPr/>
            </w:pPr>
            <w:r>
              <w:rPr/>
              <w:t> </w:t>
            </w:r>
          </w:p>
        </w:tc>
        <w:tc>
          <w:tcPr>
            <w:tcW w:w="18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3,473</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8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21,998</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1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3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8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25,471</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47" w:name="zac10f08b35464b33bd8820ca3b81c7d9"/>
      <w:bookmarkStart w:id="148" w:name="zac10f08b35464b33bd8820ca3b81c7d9"/>
      <w:bookmarkEnd w:id="148"/>
    </w:p>
    <w:tbl>
      <w:tblPr>
        <w:tblW w:w="7295" w:type="dxa"/>
        <w:jc w:val="left"/>
        <w:tblInd w:w="0" w:type="dxa"/>
        <w:tblLayout w:type="fixed"/>
        <w:tblCellMar>
          <w:top w:w="0" w:type="dxa"/>
          <w:left w:w="0" w:type="dxa"/>
          <w:bottom w:w="0" w:type="dxa"/>
          <w:right w:w="0" w:type="dxa"/>
        </w:tblCellMar>
      </w:tblPr>
      <w:tblGrid>
        <w:gridCol w:w="2825"/>
        <w:gridCol w:w="60"/>
        <w:gridCol w:w="201"/>
        <w:gridCol w:w="538"/>
        <w:gridCol w:w="96"/>
        <w:gridCol w:w="96"/>
        <w:gridCol w:w="201"/>
        <w:gridCol w:w="948"/>
        <w:gridCol w:w="96"/>
        <w:gridCol w:w="96"/>
        <w:gridCol w:w="211"/>
        <w:gridCol w:w="438"/>
        <w:gridCol w:w="96"/>
        <w:gridCol w:w="96"/>
        <w:gridCol w:w="201"/>
        <w:gridCol w:w="1021"/>
        <w:gridCol w:w="75"/>
      </w:tblGrid>
      <w:tr>
        <w:trPr/>
        <w:tc>
          <w:tcPr>
            <w:tcW w:w="28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5" w:type="dxa"/>
            <w:gridSpan w:val="14"/>
            <w:tcBorders>
              <w:bottom w:val="single" w:sz="12" w:space="0" w:color="000000"/>
            </w:tcBorders>
            <w:tcMar>
              <w:bottom w:w="28" w:type="dxa"/>
            </w:tcMar>
            <w:vAlign w:val="center"/>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Fair Value Measurements as of December 31, 2025</w:t>
            </w:r>
          </w:p>
        </w:tc>
        <w:tc>
          <w:tcPr>
            <w:tcW w:w="75" w:type="dxa"/>
            <w:tcBorders/>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center"/>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Level 1</w:t>
            </w:r>
          </w:p>
        </w:tc>
        <w:tc>
          <w:tcPr>
            <w:tcW w:w="96"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right"/>
              <w:rPr/>
            </w:pPr>
            <w:r>
              <w:rPr/>
              <w:t> </w:t>
            </w:r>
          </w:p>
        </w:tc>
        <w:tc>
          <w:tcPr>
            <w:tcW w:w="1149" w:type="dxa"/>
            <w:gridSpan w:val="2"/>
            <w:tcBorders>
              <w:bottom w:val="single" w:sz="12" w:space="0" w:color="000000"/>
            </w:tcBorders>
            <w:tcMar>
              <w:bottom w:w="28" w:type="dxa"/>
            </w:tcMar>
            <w:vAlign w:val="center"/>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Level 2</w:t>
            </w:r>
          </w:p>
        </w:tc>
        <w:tc>
          <w:tcPr>
            <w:tcW w:w="96"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right"/>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Level 3</w:t>
            </w:r>
          </w:p>
        </w:tc>
        <w:tc>
          <w:tcPr>
            <w:tcW w:w="96"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right"/>
              <w:rPr/>
            </w:pPr>
            <w:r>
              <w:rPr/>
              <w:t> </w:t>
            </w:r>
          </w:p>
        </w:tc>
        <w:tc>
          <w:tcPr>
            <w:tcW w:w="1222" w:type="dxa"/>
            <w:gridSpan w:val="2"/>
            <w:tcBorders>
              <w:bottom w:val="single" w:sz="12" w:space="0" w:color="000000"/>
            </w:tcBorders>
            <w:tcMar>
              <w:bottom w:w="28" w:type="dxa"/>
            </w:tcMar>
            <w:vAlign w:val="center"/>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Total</w:t>
            </w:r>
          </w:p>
        </w:tc>
        <w:tc>
          <w:tcPr>
            <w:tcW w:w="75" w:type="dxa"/>
            <w:tcBorders/>
            <w:vAlign w:val="bottom"/>
          </w:tcPr>
          <w:p>
            <w:pPr>
              <w:pStyle w:val="TableContents"/>
              <w:bidi w:val="0"/>
              <w:spacing w:before="0" w:after="283"/>
              <w:jc w:val="left"/>
              <w:rPr/>
            </w:pPr>
            <w:r>
              <w:rPr/>
              <w:t> </w:t>
            </w:r>
          </w:p>
        </w:tc>
      </w:tr>
      <w:tr>
        <w:trPr/>
        <w:tc>
          <w:tcPr>
            <w:tcW w:w="28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Assets:</w:t>
            </w:r>
          </w:p>
        </w:tc>
        <w:tc>
          <w:tcPr>
            <w:tcW w:w="60" w:type="dxa"/>
            <w:tcBorders/>
            <w:shd w:fill="CCEEFF" w:val="clear"/>
            <w:vAlign w:val="bottom"/>
          </w:tcPr>
          <w:p>
            <w:pPr>
              <w:pStyle w:val="TableContents"/>
              <w:bidi w:val="0"/>
              <w:spacing w:before="0" w:after="283"/>
              <w:jc w:val="left"/>
              <w:rPr/>
            </w:pPr>
            <w:r>
              <w:rPr/>
              <w:t> </w:t>
            </w:r>
          </w:p>
        </w:tc>
        <w:tc>
          <w:tcPr>
            <w:tcW w:w="739" w:type="dxa"/>
            <w:gridSpan w:val="2"/>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49" w:type="dxa"/>
            <w:gridSpan w:val="2"/>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49" w:type="dxa"/>
            <w:gridSpan w:val="2"/>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Cash equivalents</w:t>
            </w:r>
          </w:p>
        </w:tc>
        <w:tc>
          <w:tcPr>
            <w:tcW w:w="60"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49"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49"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82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Money market funds</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3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8" w:type="dxa"/>
            <w:tcBorders/>
            <w:shd w:fill="CCEEFF" w:val="clear"/>
            <w:vAlign w:val="bottom"/>
          </w:tcPr>
          <w:p>
            <w:pPr>
              <w:pStyle w:val="TableContents"/>
              <w:bidi w:val="0"/>
              <w:spacing w:before="0" w:after="0"/>
              <w:jc w:val="right"/>
              <w:rPr>
                <w:color w:val="000000"/>
              </w:rPr>
            </w:pPr>
            <w:r>
              <w:rPr>
                <w:color w:val="000000"/>
              </w:rPr>
              <w:t>—</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38" w:type="dxa"/>
            <w:tcBorders/>
            <w:shd w:fill="CCEEFF" w:val="clear"/>
            <w:vAlign w:val="bottom"/>
          </w:tcPr>
          <w:p>
            <w:pPr>
              <w:pStyle w:val="TableContents"/>
              <w:bidi w:val="0"/>
              <w:spacing w:before="0" w:after="0"/>
              <w:jc w:val="right"/>
              <w:rPr>
                <w:color w:val="000000"/>
              </w:rPr>
            </w:pPr>
            <w:r>
              <w:rPr>
                <w:color w:val="000000"/>
              </w:rPr>
              <w:t>—</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w:t>
            </w:r>
          </w:p>
        </w:tc>
        <w:tc>
          <w:tcPr>
            <w:tcW w:w="75" w:type="dxa"/>
            <w:tcBorders/>
            <w:shd w:fill="CCEEFF" w:val="clear"/>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Short-term investments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82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Time deposit</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Available-for-sale securities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82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U.S. government agency securities</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left"/>
              <w:rPr/>
            </w:pPr>
            <w:r>
              <w:rPr/>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2,000</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0"/>
              <w:jc w:val="right"/>
              <w:rPr>
                <w:color w:val="000000"/>
              </w:rPr>
            </w:pPr>
            <w:r>
              <w:rPr>
                <w:color w:val="000000"/>
              </w:rPr>
              <w:t>—</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2,000 </w:t>
            </w:r>
          </w:p>
        </w:tc>
        <w:tc>
          <w:tcPr>
            <w:tcW w:w="75" w:type="dxa"/>
            <w:tcBorders/>
            <w:shd w:fill="CCEEFF" w:val="clear"/>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Corporate debt securities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23,146</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0"/>
              <w:jc w:val="right"/>
              <w:rPr>
                <w:color w:val="000000"/>
              </w:rPr>
            </w:pPr>
            <w:r>
              <w:rPr>
                <w:color w:val="000000"/>
              </w:rPr>
              <w:t>—</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23,146 </w:t>
            </w:r>
          </w:p>
        </w:tc>
        <w:tc>
          <w:tcPr>
            <w:tcW w:w="75" w:type="dxa"/>
            <w:tcBorders/>
            <w:vAlign w:val="bottom"/>
          </w:tcPr>
          <w:p>
            <w:pPr>
              <w:pStyle w:val="TableContents"/>
              <w:bidi w:val="0"/>
              <w:spacing w:before="0" w:after="283"/>
              <w:jc w:val="left"/>
              <w:rPr/>
            </w:pPr>
            <w:r>
              <w:rPr/>
              <w:t> </w:t>
            </w:r>
          </w:p>
        </w:tc>
      </w:tr>
      <w:tr>
        <w:trPr/>
        <w:tc>
          <w:tcPr>
            <w:tcW w:w="282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Commercial paper</w:t>
            </w:r>
          </w:p>
        </w:tc>
        <w:tc>
          <w:tcPr>
            <w:tcW w:w="60" w:type="dxa"/>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2,939</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2,939</w:t>
            </w:r>
          </w:p>
        </w:tc>
        <w:tc>
          <w:tcPr>
            <w:tcW w:w="75" w:type="dxa"/>
            <w:tcBorders/>
            <w:shd w:fill="CCEEFF" w:val="clear"/>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assets</w:t>
            </w:r>
          </w:p>
        </w:tc>
        <w:tc>
          <w:tcPr>
            <w:tcW w:w="60" w:type="dxa"/>
            <w:tcBorders/>
            <w:vAlign w:val="bottom"/>
          </w:tcPr>
          <w:p>
            <w:pPr>
              <w:pStyle w:val="TableContents"/>
              <w:bidi w:val="0"/>
              <w:spacing w:before="0" w:after="283"/>
              <w:jc w:val="left"/>
              <w:rPr/>
            </w:pPr>
            <w:r>
              <w:rPr/>
              <w:t> </w:t>
            </w:r>
          </w:p>
        </w:tc>
        <w:tc>
          <w:tcPr>
            <w:tcW w:w="20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3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28,085</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3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28,252</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Money market funds are valued by the Company based on quoted market prices, which represent a Level 1 measurement within the fair value hierarchy. U.S. government agency securities, corporate debt securities and U.S. commercial paper are valued by the Company using quoted prices in active markets for similar securities, which represent a Level 2 measurement within the fair value hierarchy.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4. Short-Term Investments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amortized cost, gross unrealized holding gains or losses, and fair value of the Company’s short-term investments by major security type as of March 31, 2026 and December 31, 2025, are summarized in the table below (in thousands):</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49" w:name="z29604b78613f4f1db5a3d75a09f85078"/>
      <w:bookmarkStart w:id="150" w:name="z29604b78613f4f1db5a3d75a09f85078"/>
      <w:bookmarkEnd w:id="150"/>
    </w:p>
    <w:tbl>
      <w:tblPr>
        <w:tblW w:w="6875" w:type="dxa"/>
        <w:jc w:val="left"/>
        <w:tblInd w:w="0" w:type="dxa"/>
        <w:tblLayout w:type="fixed"/>
        <w:tblCellMar>
          <w:top w:w="0" w:type="dxa"/>
          <w:left w:w="0" w:type="dxa"/>
          <w:bottom w:w="0" w:type="dxa"/>
          <w:right w:w="0" w:type="dxa"/>
        </w:tblCellMar>
      </w:tblPr>
      <w:tblGrid>
        <w:gridCol w:w="2825"/>
        <w:gridCol w:w="60"/>
        <w:gridCol w:w="160"/>
        <w:gridCol w:w="760"/>
        <w:gridCol w:w="60"/>
        <w:gridCol w:w="60"/>
        <w:gridCol w:w="258"/>
        <w:gridCol w:w="692"/>
        <w:gridCol w:w="80"/>
        <w:gridCol w:w="60"/>
        <w:gridCol w:w="308"/>
        <w:gridCol w:w="642"/>
        <w:gridCol w:w="60"/>
        <w:gridCol w:w="60"/>
        <w:gridCol w:w="125"/>
        <w:gridCol w:w="590"/>
        <w:gridCol w:w="75"/>
      </w:tblGrid>
      <w:tr>
        <w:trPr/>
        <w:tc>
          <w:tcPr>
            <w:tcW w:w="28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15" w:type="dxa"/>
            <w:gridSpan w:val="14"/>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75" w:type="dxa"/>
            <w:tcBorders/>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Amortized</w:t>
            </w:r>
          </w:p>
          <w:p>
            <w:pPr>
              <w:pStyle w:val="TableContents"/>
              <w:bidi w:val="0"/>
              <w:spacing w:before="0" w:after="0"/>
              <w:jc w:val="center"/>
              <w:rPr>
                <w:rFonts w:ascii="Times New Roman" w:hAnsi="Times New Roman"/>
                <w:b/>
                <w:sz w:val="20"/>
              </w:rPr>
            </w:pPr>
            <w:r>
              <w:rPr>
                <w:rFonts w:ascii="Times New Roman" w:hAnsi="Times New Roman"/>
                <w:b/>
                <w:sz w:val="20"/>
              </w:rPr>
              <w:t>Cost Basis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Gross</w:t>
            </w:r>
          </w:p>
          <w:p>
            <w:pPr>
              <w:pStyle w:val="TableContents"/>
              <w:bidi w:val="0"/>
              <w:spacing w:before="0" w:after="0"/>
              <w:jc w:val="center"/>
              <w:rPr>
                <w:rFonts w:ascii="Times New Roman" w:hAnsi="Times New Roman"/>
                <w:b/>
                <w:sz w:val="20"/>
              </w:rPr>
            </w:pPr>
            <w:r>
              <w:rPr>
                <w:rFonts w:ascii="Times New Roman" w:hAnsi="Times New Roman"/>
                <w:b/>
                <w:sz w:val="20"/>
              </w:rPr>
              <w:t>Unrealized</w:t>
            </w:r>
          </w:p>
          <w:p>
            <w:pPr>
              <w:pStyle w:val="TableContents"/>
              <w:bidi w:val="0"/>
              <w:spacing w:before="0" w:after="0"/>
              <w:jc w:val="center"/>
              <w:rPr>
                <w:rFonts w:ascii="Times New Roman" w:hAnsi="Times New Roman"/>
                <w:b/>
                <w:sz w:val="20"/>
              </w:rPr>
            </w:pPr>
            <w:r>
              <w:rPr>
                <w:rFonts w:ascii="Times New Roman" w:hAnsi="Times New Roman"/>
                <w:b/>
                <w:sz w:val="20"/>
              </w:rPr>
              <w:t>Gains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Gross</w:t>
            </w:r>
          </w:p>
          <w:p>
            <w:pPr>
              <w:pStyle w:val="TableContents"/>
              <w:bidi w:val="0"/>
              <w:spacing w:before="0" w:after="0"/>
              <w:jc w:val="center"/>
              <w:rPr>
                <w:rFonts w:ascii="Times New Roman" w:hAnsi="Times New Roman"/>
                <w:b/>
                <w:sz w:val="20"/>
              </w:rPr>
            </w:pPr>
            <w:r>
              <w:rPr>
                <w:rFonts w:ascii="Times New Roman" w:hAnsi="Times New Roman"/>
                <w:b/>
                <w:sz w:val="20"/>
              </w:rPr>
              <w:t>Unrealized</w:t>
            </w:r>
          </w:p>
          <w:p>
            <w:pPr>
              <w:pStyle w:val="TableContents"/>
              <w:bidi w:val="0"/>
              <w:spacing w:before="0" w:after="0"/>
              <w:jc w:val="center"/>
              <w:rPr>
                <w:rFonts w:ascii="Times New Roman" w:hAnsi="Times New Roman"/>
                <w:b/>
                <w:sz w:val="20"/>
              </w:rPr>
            </w:pPr>
            <w:r>
              <w:rPr>
                <w:rFonts w:ascii="Times New Roman" w:hAnsi="Times New Roman"/>
                <w:b/>
                <w:sz w:val="20"/>
              </w:rPr>
              <w:t>Losses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75" w:type="dxa"/>
            <w:tcBorders/>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Short-term investments:</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825" w:type="dxa"/>
            <w:tcBorders/>
            <w:shd w:fill="CCEEFF" w:val="clear"/>
            <w:vAlign w:val="bottom"/>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Time deposit</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2"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Available-for-sale securities</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825" w:type="dxa"/>
            <w:tcBorders/>
            <w:shd w:fill="CCEEFF" w:val="clear"/>
            <w:vAlign w:val="bottom"/>
          </w:tcPr>
          <w:p>
            <w:pPr>
              <w:pStyle w:val="TableContents"/>
              <w:bidi w:val="0"/>
              <w:spacing w:before="0" w:after="0"/>
              <w:ind w:left="360" w:right="0" w:hanging="0"/>
              <w:jc w:val="both"/>
              <w:rPr>
                <w:rFonts w:ascii="Times New Roman" w:hAnsi="Times New Roman"/>
                <w:sz w:val="20"/>
              </w:rPr>
            </w:pPr>
            <w:r>
              <w:rPr>
                <w:rFonts w:ascii="Times New Roman" w:hAnsi="Times New Roman"/>
                <w:sz w:val="20"/>
              </w:rPr>
              <w:t>U.S. government agency securities</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2,016</w:t>
            </w:r>
          </w:p>
        </w:tc>
        <w:tc>
          <w:tcPr>
            <w:tcW w:w="75" w:type="dxa"/>
            <w:tcBorders/>
            <w:shd w:fill="CCEEFF" w:val="clear"/>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0"/>
              <w:ind w:left="360" w:right="0" w:hanging="0"/>
              <w:jc w:val="both"/>
              <w:rPr>
                <w:rFonts w:ascii="Times New Roman" w:hAnsi="Times New Roman"/>
                <w:sz w:val="20"/>
              </w:rPr>
            </w:pPr>
            <w:r>
              <w:rPr>
                <w:rFonts w:ascii="Times New Roman" w:hAnsi="Times New Roman"/>
                <w:sz w:val="20"/>
              </w:rPr>
              <w:t>Corporate debt securities</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17,864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18,026</w:t>
            </w:r>
          </w:p>
        </w:tc>
        <w:tc>
          <w:tcPr>
            <w:tcW w:w="75" w:type="dxa"/>
            <w:tcBorders/>
            <w:vAlign w:val="bottom"/>
          </w:tcPr>
          <w:p>
            <w:pPr>
              <w:pStyle w:val="TableContents"/>
              <w:bidi w:val="0"/>
              <w:spacing w:before="0" w:after="283"/>
              <w:jc w:val="left"/>
              <w:rPr/>
            </w:pPr>
            <w:r>
              <w:rPr/>
              <w:t> </w:t>
            </w:r>
          </w:p>
        </w:tc>
      </w:tr>
      <w:tr>
        <w:trPr/>
        <w:tc>
          <w:tcPr>
            <w:tcW w:w="2825" w:type="dxa"/>
            <w:tcBorders/>
            <w:shd w:fill="CCEEFF" w:val="clear"/>
            <w:vAlign w:val="bottom"/>
          </w:tcPr>
          <w:p>
            <w:pPr>
              <w:pStyle w:val="TableContents"/>
              <w:bidi w:val="0"/>
              <w:spacing w:before="0" w:after="0"/>
              <w:ind w:left="360" w:right="0" w:hanging="0"/>
              <w:jc w:val="both"/>
              <w:rPr>
                <w:rFonts w:ascii="Times New Roman" w:hAnsi="Times New Roman"/>
                <w:sz w:val="20"/>
              </w:rPr>
            </w:pPr>
            <w:r>
              <w:rPr>
                <w:rFonts w:ascii="Times New Roman" w:hAnsi="Times New Roman"/>
                <w:sz w:val="20"/>
              </w:rPr>
              <w:t>Commercial paper</w:t>
            </w:r>
          </w:p>
        </w:tc>
        <w:tc>
          <w:tcPr>
            <w:tcW w:w="60" w:type="dxa"/>
            <w:tcBorders/>
            <w:shd w:fill="CCEEFF" w:val="clear"/>
            <w:vAlign w:val="bottom"/>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30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1,956</w:t>
            </w:r>
          </w:p>
        </w:tc>
        <w:tc>
          <w:tcPr>
            <w:tcW w:w="75" w:type="dxa"/>
            <w:tcBorders/>
            <w:shd w:fill="CCEEFF" w:val="clear"/>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Total</w:t>
            </w:r>
          </w:p>
        </w:tc>
        <w:tc>
          <w:tcPr>
            <w:tcW w:w="60" w:type="dxa"/>
            <w:tcBorders/>
            <w:vAlign w:val="bottom"/>
          </w:tcPr>
          <w:p>
            <w:pPr>
              <w:pStyle w:val="TableContents"/>
              <w:bidi w:val="0"/>
              <w:spacing w:before="0" w:after="283"/>
              <w:jc w:val="left"/>
              <w:rPr/>
            </w:pPr>
            <w:r>
              <w:rPr/>
              <w:t> </w:t>
            </w:r>
          </w:p>
        </w:tc>
        <w:tc>
          <w:tcPr>
            <w:tcW w:w="16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21,823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2" w:type="dxa"/>
            <w:tcBorders>
              <w:bottom w:val="double" w:sz="8"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21,998</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51" w:name="zfe19a54ecd5f4177aa0d803421348eff"/>
      <w:bookmarkStart w:id="152" w:name="zfe19a54ecd5f4177aa0d803421348eff"/>
      <w:bookmarkEnd w:id="152"/>
    </w:p>
    <w:tbl>
      <w:tblPr>
        <w:tblW w:w="6825" w:type="dxa"/>
        <w:jc w:val="left"/>
        <w:tblInd w:w="0" w:type="dxa"/>
        <w:tblLayout w:type="fixed"/>
        <w:tblCellMar>
          <w:top w:w="0" w:type="dxa"/>
          <w:left w:w="0" w:type="dxa"/>
          <w:bottom w:w="0" w:type="dxa"/>
          <w:right w:w="0" w:type="dxa"/>
        </w:tblCellMar>
      </w:tblPr>
      <w:tblGrid>
        <w:gridCol w:w="2810"/>
        <w:gridCol w:w="60"/>
        <w:gridCol w:w="160"/>
        <w:gridCol w:w="760"/>
        <w:gridCol w:w="60"/>
        <w:gridCol w:w="60"/>
        <w:gridCol w:w="258"/>
        <w:gridCol w:w="692"/>
        <w:gridCol w:w="60"/>
        <w:gridCol w:w="60"/>
        <w:gridCol w:w="308"/>
        <w:gridCol w:w="642"/>
        <w:gridCol w:w="60"/>
        <w:gridCol w:w="60"/>
        <w:gridCol w:w="125"/>
        <w:gridCol w:w="590"/>
        <w:gridCol w:w="60"/>
      </w:tblGrid>
      <w:tr>
        <w:trPr/>
        <w:tc>
          <w:tcPr>
            <w:tcW w:w="28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5" w:type="dxa"/>
            <w:gridSpan w:val="14"/>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 2025</w:t>
            </w:r>
          </w:p>
        </w:tc>
        <w:tc>
          <w:tcPr>
            <w:tcW w:w="6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Amortized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Cost Basis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Gross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Unrealized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Gains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Gross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Unrealized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Fair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Short-term investments:</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ind w:left="180" w:right="0" w:hanging="0"/>
              <w:jc w:val="both"/>
              <w:rPr>
                <w:rFonts w:ascii="Times New Roman" w:hAnsi="Times New Roman"/>
                <w:color w:val="000000"/>
                <w:sz w:val="20"/>
              </w:rPr>
            </w:pPr>
            <w:r>
              <w:rPr>
                <w:rFonts w:ascii="Times New Roman" w:hAnsi="Times New Roman"/>
                <w:color w:val="000000"/>
                <w:sz w:val="20"/>
              </w:rPr>
              <w:t>Time deposit</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ind w:left="180" w:right="0" w:hanging="0"/>
              <w:jc w:val="both"/>
              <w:rPr>
                <w:rFonts w:ascii="Times New Roman" w:hAnsi="Times New Roman"/>
                <w:color w:val="000000"/>
                <w:sz w:val="20"/>
              </w:rPr>
            </w:pPr>
            <w:r>
              <w:rPr>
                <w:rFonts w:ascii="Times New Roman" w:hAnsi="Times New Roman"/>
                <w:color w:val="000000"/>
                <w:sz w:val="20"/>
              </w:rPr>
              <w:t>Available-for-sale securities</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ind w:left="360" w:right="0" w:hanging="0"/>
              <w:jc w:val="both"/>
              <w:rPr>
                <w:rFonts w:ascii="Times New Roman" w:hAnsi="Times New Roman"/>
                <w:color w:val="000000"/>
                <w:sz w:val="20"/>
              </w:rPr>
            </w:pPr>
            <w:r>
              <w:rPr>
                <w:rFonts w:ascii="Times New Roman" w:hAnsi="Times New Roman"/>
                <w:color w:val="000000"/>
                <w:sz w:val="20"/>
              </w:rPr>
              <w:t>U.S. government agency securities</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2,000</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ind w:left="360" w:right="0" w:hanging="0"/>
              <w:jc w:val="both"/>
              <w:rPr>
                <w:rFonts w:ascii="Times New Roman" w:hAnsi="Times New Roman"/>
                <w:color w:val="000000"/>
                <w:sz w:val="20"/>
              </w:rPr>
            </w:pPr>
            <w:r>
              <w:rPr>
                <w:rFonts w:ascii="Times New Roman" w:hAnsi="Times New Roman"/>
                <w:color w:val="000000"/>
                <w:sz w:val="20"/>
              </w:rPr>
              <w:t>Corporate debt securities</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22,866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23,146</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ind w:left="360" w:right="0" w:hanging="0"/>
              <w:jc w:val="both"/>
              <w:rPr>
                <w:rFonts w:ascii="Times New Roman" w:hAnsi="Times New Roman"/>
                <w:color w:val="000000"/>
                <w:sz w:val="20"/>
              </w:rPr>
            </w:pPr>
            <w:r>
              <w:rPr>
                <w:rFonts w:ascii="Times New Roman" w:hAnsi="Times New Roman"/>
                <w:color w:val="000000"/>
                <w:sz w:val="20"/>
              </w:rPr>
              <w:t>Commercial paper</w:t>
            </w:r>
          </w:p>
        </w:tc>
        <w:tc>
          <w:tcPr>
            <w:tcW w:w="60" w:type="dxa"/>
            <w:tcBorders/>
            <w:shd w:fill="CCEEFF" w:val="clear"/>
            <w:vAlign w:val="bottom"/>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2" w:type="dxa"/>
            <w:tcBorders>
              <w:bottom w:val="single" w:sz="2" w:space="0" w:color="000000"/>
            </w:tcBorders>
            <w:shd w:fill="CCEEFF" w:val="clear"/>
            <w:tcMar>
              <w:bottom w:w="28" w:type="dxa"/>
            </w:tcMar>
            <w:vAlign w:val="center"/>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2" w:type="dxa"/>
            <w:tcBorders>
              <w:bottom w:val="single" w:sz="2" w:space="0" w:color="000000"/>
            </w:tcBorders>
            <w:shd w:fill="CCEEFF" w:val="clear"/>
            <w:tcMar>
              <w:bottom w:w="28" w:type="dxa"/>
            </w:tcMar>
            <w:vAlign w:val="center"/>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2,939</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left"/>
              <w:rPr/>
            </w:pPr>
            <w:r>
              <w:rPr/>
              <w:t> </w:t>
            </w:r>
          </w:p>
        </w:tc>
        <w:tc>
          <w:tcPr>
            <w:tcW w:w="160" w:type="dxa"/>
            <w:tcBorders>
              <w:bottom w:val="double" w:sz="8"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8" w:space="0" w:color="000000"/>
            </w:tcBorders>
            <w:tcMar>
              <w:bottom w:w="28"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27,805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8" w:type="dxa"/>
            <w:tcBorders>
              <w:bottom w:val="double" w:sz="8"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2" w:type="dxa"/>
            <w:tcBorders>
              <w:bottom w:val="double" w:sz="8" w:space="0" w:color="000000"/>
            </w:tcBorders>
            <w:tcMar>
              <w:bottom w:w="28"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 w:type="dxa"/>
            <w:tcBorders>
              <w:bottom w:val="double" w:sz="8"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2" w:type="dxa"/>
            <w:tcBorders>
              <w:bottom w:val="double" w:sz="8" w:space="0" w:color="000000"/>
            </w:tcBorders>
            <w:tcMar>
              <w:bottom w:w="28" w:type="dxa"/>
            </w:tcMar>
            <w:vAlign w:val="center"/>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28,085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 Consolidated Balance Sheet Components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prepaid expenses and other current assets are comprised of the following (in thousands):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53" w:name="zd2ff3fe4fc3a41c8889559343ccab53d"/>
      <w:bookmarkStart w:id="154" w:name="zd2ff3fe4fc3a41c8889559343ccab53d"/>
      <w:bookmarkEnd w:id="154"/>
    </w:p>
    <w:tbl>
      <w:tblPr>
        <w:tblW w:w="6268" w:type="dxa"/>
        <w:jc w:val="left"/>
        <w:tblInd w:w="0" w:type="dxa"/>
        <w:tblLayout w:type="fixed"/>
        <w:tblCellMar>
          <w:top w:w="0" w:type="dxa"/>
          <w:left w:w="0" w:type="dxa"/>
          <w:bottom w:w="0" w:type="dxa"/>
          <w:right w:w="0" w:type="dxa"/>
        </w:tblCellMar>
      </w:tblPr>
      <w:tblGrid>
        <w:gridCol w:w="3965"/>
        <w:gridCol w:w="60"/>
        <w:gridCol w:w="182"/>
        <w:gridCol w:w="707"/>
        <w:gridCol w:w="60"/>
        <w:gridCol w:w="60"/>
        <w:gridCol w:w="240"/>
        <w:gridCol w:w="934"/>
        <w:gridCol w:w="60"/>
      </w:tblGrid>
      <w:tr>
        <w:trPr/>
        <w:tc>
          <w:tcPr>
            <w:tcW w:w="39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tc>
        <w:tc>
          <w:tcPr>
            <w:tcW w:w="60"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Advances to research and development suppliers</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615</w:t>
            </w:r>
          </w:p>
        </w:tc>
        <w:tc>
          <w:tcPr>
            <w:tcW w:w="60"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Advances to other suppliers</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391</w:t>
            </w:r>
          </w:p>
        </w:tc>
        <w:tc>
          <w:tcPr>
            <w:tcW w:w="60"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Deferred transaction costs</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3,831</w:t>
            </w:r>
          </w:p>
        </w:tc>
        <w:tc>
          <w:tcPr>
            <w:tcW w:w="60"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Income tax recoverable</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1,069</w:t>
            </w:r>
          </w:p>
        </w:tc>
        <w:tc>
          <w:tcPr>
            <w:tcW w:w="60"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Other tax recoverable</w:t>
            </w:r>
          </w:p>
        </w:tc>
        <w:tc>
          <w:tcPr>
            <w:tcW w:w="60" w:type="dxa"/>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880</w:t>
            </w:r>
          </w:p>
        </w:tc>
        <w:tc>
          <w:tcPr>
            <w:tcW w:w="60"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ind w:left="180" w:right="0" w:hanging="0"/>
              <w:jc w:val="both"/>
              <w:rPr>
                <w:rFonts w:ascii="Times New Roman" w:hAnsi="Times New Roman"/>
                <w:color w:val="000000"/>
                <w:sz w:val="20"/>
              </w:rPr>
            </w:pPr>
            <w:r>
              <w:rPr>
                <w:rFonts w:ascii="Times New Roman" w:hAnsi="Times New Roman"/>
                <w:color w:val="000000"/>
                <w:sz w:val="20"/>
              </w:rPr>
              <w:t>Total prepaid expenses and other current assets</w:t>
            </w:r>
          </w:p>
        </w:tc>
        <w:tc>
          <w:tcPr>
            <w:tcW w:w="60" w:type="dxa"/>
            <w:tcBorders/>
            <w:vAlign w:val="bottom"/>
          </w:tcPr>
          <w:p>
            <w:pPr>
              <w:pStyle w:val="TableContents"/>
              <w:bidi w:val="0"/>
              <w:spacing w:before="0" w:after="283"/>
              <w:jc w:val="left"/>
              <w:rPr/>
            </w:pPr>
            <w:r>
              <w:rPr/>
              <w:t> </w:t>
            </w:r>
          </w:p>
        </w:tc>
        <w:tc>
          <w:tcPr>
            <w:tcW w:w="18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6,786</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Property, plant and equipment, net, consist of the following (in thousands):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55" w:name="za069dc02a94c437b91bebcda8cfdab88"/>
      <w:bookmarkStart w:id="156" w:name="za069dc02a94c437b91bebcda8cfdab88"/>
      <w:bookmarkEnd w:id="156"/>
    </w:p>
    <w:tbl>
      <w:tblPr>
        <w:tblW w:w="5168" w:type="dxa"/>
        <w:jc w:val="left"/>
        <w:tblInd w:w="0" w:type="dxa"/>
        <w:tblLayout w:type="fixed"/>
        <w:tblCellMar>
          <w:top w:w="0" w:type="dxa"/>
          <w:left w:w="0" w:type="dxa"/>
          <w:bottom w:w="0" w:type="dxa"/>
          <w:right w:w="0" w:type="dxa"/>
        </w:tblCellMar>
      </w:tblPr>
      <w:tblGrid>
        <w:gridCol w:w="2810"/>
        <w:gridCol w:w="60"/>
        <w:gridCol w:w="166"/>
        <w:gridCol w:w="723"/>
        <w:gridCol w:w="80"/>
        <w:gridCol w:w="60"/>
        <w:gridCol w:w="218"/>
        <w:gridCol w:w="956"/>
        <w:gridCol w:w="95"/>
      </w:tblGrid>
      <w:tr>
        <w:trPr/>
        <w:tc>
          <w:tcPr>
            <w:tcW w:w="28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tc>
        <w:tc>
          <w:tcPr>
            <w:tcW w:w="8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tc>
        <w:tc>
          <w:tcPr>
            <w:tcW w:w="95"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95"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Furniture and fixtures</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w:t>
            </w:r>
          </w:p>
        </w:tc>
        <w:tc>
          <w:tcPr>
            <w:tcW w:w="95"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Equipment</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5,157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5,073</w:t>
            </w:r>
          </w:p>
        </w:tc>
        <w:tc>
          <w:tcPr>
            <w:tcW w:w="95"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Leasehold improvements</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2,238</w:t>
            </w:r>
          </w:p>
        </w:tc>
        <w:tc>
          <w:tcPr>
            <w:tcW w:w="95"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ind w:left="180" w:right="0" w:hanging="0"/>
              <w:jc w:val="both"/>
              <w:rPr>
                <w:rFonts w:ascii="Times New Roman" w:hAnsi="Times New Roman"/>
                <w:color w:val="000000"/>
                <w:sz w:val="20"/>
              </w:rPr>
            </w:pPr>
            <w:r>
              <w:rPr>
                <w:rFonts w:ascii="Times New Roman" w:hAnsi="Times New Roman"/>
                <w:color w:val="000000"/>
                <w:sz w:val="20"/>
              </w:rPr>
              <w:t>Total property and equipment</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7,536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7,377</w:t>
            </w:r>
          </w:p>
        </w:tc>
        <w:tc>
          <w:tcPr>
            <w:tcW w:w="95"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Less: Accumulated depreciation</w:t>
            </w:r>
          </w:p>
        </w:tc>
        <w:tc>
          <w:tcPr>
            <w:tcW w:w="60" w:type="dxa"/>
            <w:tcBorders/>
            <w:shd w:fill="CCEEFF" w:val="clear"/>
            <w:vAlign w:val="bottom"/>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(3,657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(3,426</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810" w:type="dxa"/>
            <w:tcBorders/>
            <w:vAlign w:val="bottom"/>
          </w:tcPr>
          <w:p>
            <w:pPr>
              <w:pStyle w:val="TableContents"/>
              <w:bidi w:val="0"/>
              <w:spacing w:before="0" w:after="0"/>
              <w:ind w:left="180" w:right="0" w:hanging="0"/>
              <w:jc w:val="both"/>
              <w:rPr>
                <w:rFonts w:ascii="Times New Roman" w:hAnsi="Times New Roman"/>
                <w:color w:val="000000"/>
                <w:sz w:val="20"/>
              </w:rPr>
            </w:pPr>
            <w:r>
              <w:rPr>
                <w:rFonts w:ascii="Times New Roman" w:hAnsi="Times New Roman"/>
                <w:color w:val="000000"/>
                <w:sz w:val="20"/>
              </w:rPr>
              <w:t>Total property and equipment, net</w:t>
            </w:r>
          </w:p>
        </w:tc>
        <w:tc>
          <w:tcPr>
            <w:tcW w:w="60" w:type="dxa"/>
            <w:tcBorders/>
            <w:vAlign w:val="bottom"/>
          </w:tcPr>
          <w:p>
            <w:pPr>
              <w:pStyle w:val="TableContents"/>
              <w:bidi w:val="0"/>
              <w:spacing w:before="0" w:after="283"/>
              <w:jc w:val="left"/>
              <w:rPr/>
            </w:pPr>
            <w:r>
              <w:rPr/>
              <w:t> </w:t>
            </w:r>
          </w:p>
        </w:tc>
        <w:tc>
          <w:tcPr>
            <w:tcW w:w="16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3,951</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Depreciation expenses for the three months ended March 31, 2026 and 2025, were $180 and $140, respectively.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 Leases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leases facilities under noncancelable operating leases maturing at various dates through February 2037.</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components of lease expense are as follows (in thousands):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57" w:name="zffdd1e6727154c948c193815358015f5"/>
      <w:bookmarkStart w:id="158" w:name="zffdd1e6727154c948c193815358015f5"/>
      <w:bookmarkEnd w:id="158"/>
    </w:p>
    <w:tbl>
      <w:tblPr>
        <w:tblW w:w="4775" w:type="dxa"/>
        <w:jc w:val="left"/>
        <w:tblInd w:w="0" w:type="dxa"/>
        <w:tblLayout w:type="fixed"/>
        <w:tblCellMar>
          <w:top w:w="0" w:type="dxa"/>
          <w:left w:w="0" w:type="dxa"/>
          <w:bottom w:w="0" w:type="dxa"/>
          <w:right w:w="0" w:type="dxa"/>
        </w:tblCellMar>
      </w:tblPr>
      <w:tblGrid>
        <w:gridCol w:w="2000"/>
        <w:gridCol w:w="60"/>
        <w:gridCol w:w="317"/>
        <w:gridCol w:w="851"/>
        <w:gridCol w:w="152"/>
        <w:gridCol w:w="152"/>
        <w:gridCol w:w="317"/>
        <w:gridCol w:w="851"/>
        <w:gridCol w:w="75"/>
      </w:tblGrid>
      <w:tr>
        <w:trPr/>
        <w:tc>
          <w:tcPr>
            <w:tcW w:w="20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0"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March 31,</w:t>
            </w:r>
          </w:p>
        </w:tc>
        <w:tc>
          <w:tcPr>
            <w:tcW w:w="75" w:type="dxa"/>
            <w:tcBorders/>
            <w:vAlign w:val="bottom"/>
          </w:tcPr>
          <w:p>
            <w:pPr>
              <w:pStyle w:val="TableContents"/>
              <w:bidi w:val="0"/>
              <w:spacing w:before="0" w:after="283"/>
              <w:jc w:val="left"/>
              <w:rPr/>
            </w:pPr>
            <w:r>
              <w:rPr/>
              <w:t> </w:t>
            </w:r>
          </w:p>
        </w:tc>
      </w:tr>
      <w:tr>
        <w:trPr/>
        <w:tc>
          <w:tcPr>
            <w:tcW w:w="20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8"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152" w:type="dxa"/>
            <w:tcBorders/>
            <w:vAlign w:val="center"/>
          </w:tcPr>
          <w:p>
            <w:pPr>
              <w:pStyle w:val="TableContents"/>
              <w:bidi w:val="0"/>
              <w:spacing w:before="0" w:after="283"/>
              <w:jc w:val="center"/>
              <w:rPr/>
            </w:pPr>
            <w:r>
              <w:rPr/>
              <w:t> </w:t>
            </w:r>
          </w:p>
        </w:tc>
        <w:tc>
          <w:tcPr>
            <w:tcW w:w="152" w:type="dxa"/>
            <w:tcBorders/>
            <w:vAlign w:val="center"/>
          </w:tcPr>
          <w:p>
            <w:pPr>
              <w:pStyle w:val="TableContents"/>
              <w:bidi w:val="0"/>
              <w:spacing w:before="0" w:after="283"/>
              <w:jc w:val="center"/>
              <w:rPr/>
            </w:pPr>
            <w:r>
              <w:rPr/>
              <w:t> </w:t>
            </w:r>
          </w:p>
        </w:tc>
        <w:tc>
          <w:tcPr>
            <w:tcW w:w="1168"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75" w:type="dxa"/>
            <w:tcBorders/>
            <w:vAlign w:val="bottom"/>
          </w:tcPr>
          <w:p>
            <w:pPr>
              <w:pStyle w:val="TableContents"/>
              <w:bidi w:val="0"/>
              <w:spacing w:before="0" w:after="283"/>
              <w:jc w:val="left"/>
              <w:rPr/>
            </w:pPr>
            <w:r>
              <w:rPr/>
              <w:t> </w:t>
            </w:r>
          </w:p>
        </w:tc>
      </w:tr>
      <w:tr>
        <w:trPr/>
        <w:tc>
          <w:tcPr>
            <w:tcW w:w="20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lease expense</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240</w:t>
            </w:r>
          </w:p>
        </w:tc>
        <w:tc>
          <w:tcPr>
            <w:tcW w:w="15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Company’s short-term lease expense for the year is immaterial to the financial statements. As of March 31, 2026 and 2025, the Company had no significant lease contract that has been entered into but not yet commenced.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weighted average remaining lease term and discount rate related to the Company’s operating leases are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59" w:name="z3fe8c2d4d11044588b835c46605369dd"/>
      <w:bookmarkStart w:id="160" w:name="z3fe8c2d4d11044588b835c46605369dd"/>
      <w:bookmarkEnd w:id="160"/>
    </w:p>
    <w:tbl>
      <w:tblPr>
        <w:tblW w:w="5738" w:type="dxa"/>
        <w:jc w:val="left"/>
        <w:tblInd w:w="0" w:type="dxa"/>
        <w:tblLayout w:type="fixed"/>
        <w:tblCellMar>
          <w:top w:w="0" w:type="dxa"/>
          <w:left w:w="0" w:type="dxa"/>
          <w:bottom w:w="0" w:type="dxa"/>
          <w:right w:w="0" w:type="dxa"/>
        </w:tblCellMar>
      </w:tblPr>
      <w:tblGrid>
        <w:gridCol w:w="3170"/>
        <w:gridCol w:w="60"/>
        <w:gridCol w:w="120"/>
        <w:gridCol w:w="769"/>
        <w:gridCol w:w="185"/>
        <w:gridCol w:w="60"/>
        <w:gridCol w:w="159"/>
        <w:gridCol w:w="1015"/>
        <w:gridCol w:w="200"/>
      </w:tblGrid>
      <w:tr>
        <w:trPr/>
        <w:tc>
          <w:tcPr>
            <w:tcW w:w="3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tc>
        <w:tc>
          <w:tcPr>
            <w:tcW w:w="18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tc>
        <w:tc>
          <w:tcPr>
            <w:tcW w:w="200" w:type="dxa"/>
            <w:tcBorders/>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200" w:type="dxa"/>
            <w:tcBorders/>
            <w:vAlign w:val="bottom"/>
          </w:tcPr>
          <w:p>
            <w:pPr>
              <w:pStyle w:val="TableContents"/>
              <w:bidi w:val="0"/>
              <w:spacing w:before="0" w:after="283"/>
              <w:jc w:val="left"/>
              <w:rPr/>
            </w:pPr>
            <w:r>
              <w:rPr/>
              <w:t> </w:t>
            </w:r>
          </w:p>
        </w:tc>
      </w:tr>
      <w:tr>
        <w:trPr/>
        <w:tc>
          <w:tcPr>
            <w:tcW w:w="3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Weighted-average lease term (in years)</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9.95</w:t>
            </w:r>
          </w:p>
        </w:tc>
        <w:tc>
          <w:tcPr>
            <w:tcW w:w="200"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Weighted-average discount rate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9.42</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information represents supplemental disclosure for the statement of cash flows related to the operating leases (in thousands):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61" w:name="zfabc8aa22d7e42cfb5fa22693886ed59"/>
      <w:bookmarkStart w:id="162" w:name="zfabc8aa22d7e42cfb5fa22693886ed59"/>
      <w:bookmarkEnd w:id="162"/>
    </w:p>
    <w:tbl>
      <w:tblPr>
        <w:tblW w:w="8495" w:type="dxa"/>
        <w:jc w:val="left"/>
        <w:tblInd w:w="0" w:type="dxa"/>
        <w:tblLayout w:type="fixed"/>
        <w:tblCellMar>
          <w:top w:w="0" w:type="dxa"/>
          <w:left w:w="0" w:type="dxa"/>
          <w:bottom w:w="0" w:type="dxa"/>
          <w:right w:w="0" w:type="dxa"/>
        </w:tblCellMar>
      </w:tblPr>
      <w:tblGrid>
        <w:gridCol w:w="5720"/>
        <w:gridCol w:w="60"/>
        <w:gridCol w:w="317"/>
        <w:gridCol w:w="851"/>
        <w:gridCol w:w="152"/>
        <w:gridCol w:w="152"/>
        <w:gridCol w:w="317"/>
        <w:gridCol w:w="851"/>
        <w:gridCol w:w="75"/>
      </w:tblGrid>
      <w:tr>
        <w:trPr/>
        <w:tc>
          <w:tcPr>
            <w:tcW w:w="57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0"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March 31,</w:t>
            </w:r>
          </w:p>
        </w:tc>
        <w:tc>
          <w:tcPr>
            <w:tcW w:w="75" w:type="dxa"/>
            <w:tcBorders/>
            <w:vAlign w:val="bottom"/>
          </w:tcPr>
          <w:p>
            <w:pPr>
              <w:pStyle w:val="TableContents"/>
              <w:bidi w:val="0"/>
              <w:spacing w:before="0" w:after="283"/>
              <w:jc w:val="left"/>
              <w:rPr/>
            </w:pPr>
            <w:r>
              <w:rPr/>
              <w:t> </w:t>
            </w:r>
          </w:p>
        </w:tc>
      </w:tr>
      <w:tr>
        <w:trPr/>
        <w:tc>
          <w:tcPr>
            <w:tcW w:w="57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8"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152" w:type="dxa"/>
            <w:tcBorders/>
            <w:vAlign w:val="center"/>
          </w:tcPr>
          <w:p>
            <w:pPr>
              <w:pStyle w:val="TableContents"/>
              <w:bidi w:val="0"/>
              <w:spacing w:before="0" w:after="283"/>
              <w:jc w:val="center"/>
              <w:rPr/>
            </w:pPr>
            <w:r>
              <w:rPr/>
              <w:t> </w:t>
            </w:r>
          </w:p>
        </w:tc>
        <w:tc>
          <w:tcPr>
            <w:tcW w:w="152" w:type="dxa"/>
            <w:tcBorders/>
            <w:vAlign w:val="center"/>
          </w:tcPr>
          <w:p>
            <w:pPr>
              <w:pStyle w:val="TableContents"/>
              <w:bidi w:val="0"/>
              <w:spacing w:before="0" w:after="283"/>
              <w:jc w:val="center"/>
              <w:rPr/>
            </w:pPr>
            <w:r>
              <w:rPr/>
              <w:t> </w:t>
            </w:r>
          </w:p>
        </w:tc>
        <w:tc>
          <w:tcPr>
            <w:tcW w:w="1168"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75" w:type="dxa"/>
            <w:tcBorders/>
            <w:vAlign w:val="bottom"/>
          </w:tcPr>
          <w:p>
            <w:pPr>
              <w:pStyle w:val="TableContents"/>
              <w:bidi w:val="0"/>
              <w:spacing w:before="0" w:after="283"/>
              <w:jc w:val="left"/>
              <w:rPr/>
            </w:pPr>
            <w:r>
              <w:rPr/>
              <w:t> </w:t>
            </w:r>
          </w:p>
        </w:tc>
      </w:tr>
      <w:tr>
        <w:trPr/>
        <w:tc>
          <w:tcPr>
            <w:tcW w:w="57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60" w:type="dxa"/>
            <w:tcBorders/>
            <w:vAlign w:val="bottom"/>
          </w:tcPr>
          <w:p>
            <w:pPr>
              <w:pStyle w:val="TableContents"/>
              <w:bidi w:val="0"/>
              <w:spacing w:before="0" w:after="283"/>
              <w:jc w:val="left"/>
              <w:rPr/>
            </w:pPr>
            <w:r>
              <w:rPr/>
              <w:t> </w:t>
            </w:r>
          </w:p>
        </w:tc>
        <w:tc>
          <w:tcPr>
            <w:tcW w:w="1168" w:type="dxa"/>
            <w:gridSpan w:val="2"/>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68"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7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cash flows under operating leases</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222</w:t>
            </w:r>
          </w:p>
        </w:tc>
        <w:tc>
          <w:tcPr>
            <w:tcW w:w="15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Future minimum lease payments under operating lease agreements as of March 31, 2026, are as follows (in thousands):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63" w:name="z835fbe0eeef14714adc335d469e557be"/>
      <w:bookmarkStart w:id="164" w:name="z835fbe0eeef14714adc335d469e557be"/>
      <w:bookmarkEnd w:id="164"/>
    </w:p>
    <w:tbl>
      <w:tblPr>
        <w:tblW w:w="4179" w:type="dxa"/>
        <w:jc w:val="left"/>
        <w:tblInd w:w="0" w:type="dxa"/>
        <w:tblLayout w:type="fixed"/>
        <w:tblCellMar>
          <w:top w:w="0" w:type="dxa"/>
          <w:left w:w="0" w:type="dxa"/>
          <w:bottom w:w="28" w:type="dxa"/>
          <w:right w:w="0" w:type="dxa"/>
        </w:tblCellMar>
      </w:tblPr>
      <w:tblGrid>
        <w:gridCol w:w="2555"/>
        <w:gridCol w:w="60"/>
        <w:gridCol w:w="307"/>
        <w:gridCol w:w="1197"/>
        <w:gridCol w:w="60"/>
      </w:tblGrid>
      <w:tr>
        <w:trPr/>
        <w:tc>
          <w:tcPr>
            <w:tcW w:w="2555"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Year Ending December 31,</w:t>
            </w:r>
          </w:p>
        </w:tc>
        <w:tc>
          <w:tcPr>
            <w:tcW w:w="60" w:type="dxa"/>
            <w:tcBorders/>
            <w:tcMar>
              <w:bottom w:w="0" w:type="dxa"/>
            </w:tcMar>
            <w:vAlign w:val="bottom"/>
          </w:tcPr>
          <w:p>
            <w:pPr>
              <w:pStyle w:val="TableContents"/>
              <w:bidi w:val="0"/>
              <w:spacing w:before="0" w:after="283"/>
              <w:jc w:val="left"/>
              <w:rPr/>
            </w:pPr>
            <w:r>
              <w:rPr/>
              <w:t> </w:t>
            </w:r>
          </w:p>
        </w:tc>
        <w:tc>
          <w:tcPr>
            <w:tcW w:w="1504" w:type="dxa"/>
            <w:gridSpan w:val="2"/>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Operating Leases</w:t>
            </w:r>
          </w:p>
        </w:tc>
        <w:tc>
          <w:tcPr>
            <w:tcW w:w="60" w:type="dxa"/>
            <w:tcBorders/>
            <w:tcMar>
              <w:bottom w:w="0" w:type="dxa"/>
            </w:tcMar>
            <w:vAlign w:val="bottom"/>
          </w:tcPr>
          <w:p>
            <w:pPr>
              <w:pStyle w:val="TableContents"/>
              <w:bidi w:val="0"/>
              <w:spacing w:before="0" w:after="283"/>
              <w:jc w:val="left"/>
              <w:rPr/>
            </w:pPr>
            <w:r>
              <w:rPr/>
              <w:t> </w:t>
            </w:r>
          </w:p>
        </w:tc>
      </w:tr>
      <w:tr>
        <w:trPr/>
        <w:tc>
          <w:tcPr>
            <w:tcW w:w="2555" w:type="dxa"/>
            <w:tcBorders/>
            <w:shd w:fill="CCEEFF" w:val="clear"/>
            <w:tcMar>
              <w:bottom w:w="0" w:type="dxa"/>
            </w:tcM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2026 (remaining 9 months)</w:t>
            </w:r>
          </w:p>
        </w:tc>
        <w:tc>
          <w:tcPr>
            <w:tcW w:w="60" w:type="dxa"/>
            <w:tcBorders/>
            <w:shd w:fill="CCEEFF" w:val="clear"/>
            <w:tcMar>
              <w:bottom w:w="0" w:type="dxa"/>
            </w:tcMar>
            <w:vAlign w:val="bottom"/>
          </w:tcPr>
          <w:p>
            <w:pPr>
              <w:pStyle w:val="TableContents"/>
              <w:bidi w:val="0"/>
              <w:spacing w:before="0" w:after="283"/>
              <w:jc w:val="left"/>
              <w:rPr/>
            </w:pPr>
            <w:r>
              <w:rPr/>
              <w:t> </w:t>
            </w:r>
          </w:p>
        </w:tc>
        <w:tc>
          <w:tcPr>
            <w:tcW w:w="307"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97"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562</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2555" w:type="dxa"/>
            <w:tcBorders/>
            <w:tcMar>
              <w:bottom w:w="0" w:type="dxa"/>
            </w:tcM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2027</w:t>
            </w:r>
          </w:p>
        </w:tc>
        <w:tc>
          <w:tcPr>
            <w:tcW w:w="60" w:type="dxa"/>
            <w:tcBorders/>
            <w:tcMar>
              <w:bottom w:w="0" w:type="dxa"/>
            </w:tcMar>
            <w:vAlign w:val="bottom"/>
          </w:tcPr>
          <w:p>
            <w:pPr>
              <w:pStyle w:val="TableContents"/>
              <w:bidi w:val="0"/>
              <w:spacing w:before="0" w:after="283"/>
              <w:jc w:val="left"/>
              <w:rPr/>
            </w:pPr>
            <w:r>
              <w:rPr/>
              <w:t> </w:t>
            </w:r>
          </w:p>
        </w:tc>
        <w:tc>
          <w:tcPr>
            <w:tcW w:w="307" w:type="dxa"/>
            <w:tcBorders/>
            <w:tcMar>
              <w:bottom w:w="0" w:type="dxa"/>
            </w:tcMar>
            <w:vAlign w:val="bottom"/>
          </w:tcPr>
          <w:p>
            <w:pPr>
              <w:pStyle w:val="TableContents"/>
              <w:bidi w:val="0"/>
              <w:spacing w:before="0" w:after="283"/>
              <w:jc w:val="left"/>
              <w:rPr/>
            </w:pPr>
            <w:r>
              <w:rPr/>
              <w:t> </w:t>
            </w:r>
          </w:p>
        </w:tc>
        <w:tc>
          <w:tcPr>
            <w:tcW w:w="1197"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804</w:t>
            </w:r>
          </w:p>
        </w:tc>
        <w:tc>
          <w:tcPr>
            <w:tcW w:w="60" w:type="dxa"/>
            <w:tcBorders/>
            <w:tcMar>
              <w:bottom w:w="0" w:type="dxa"/>
            </w:tcMar>
            <w:vAlign w:val="bottom"/>
          </w:tcPr>
          <w:p>
            <w:pPr>
              <w:pStyle w:val="TableContents"/>
              <w:bidi w:val="0"/>
              <w:spacing w:before="0" w:after="283"/>
              <w:jc w:val="left"/>
              <w:rPr/>
            </w:pPr>
            <w:r>
              <w:rPr/>
              <w:t> </w:t>
            </w:r>
          </w:p>
        </w:tc>
      </w:tr>
      <w:tr>
        <w:trPr/>
        <w:tc>
          <w:tcPr>
            <w:tcW w:w="2555" w:type="dxa"/>
            <w:tcBorders/>
            <w:shd w:fill="CCEEFF" w:val="clear"/>
            <w:tcMar>
              <w:bottom w:w="0" w:type="dxa"/>
            </w:tcM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2028</w:t>
            </w:r>
          </w:p>
        </w:tc>
        <w:tc>
          <w:tcPr>
            <w:tcW w:w="60" w:type="dxa"/>
            <w:tcBorders/>
            <w:shd w:fill="CCEEFF" w:val="clear"/>
            <w:tcMar>
              <w:bottom w:w="0" w:type="dxa"/>
            </w:tcMar>
            <w:vAlign w:val="bottom"/>
          </w:tcPr>
          <w:p>
            <w:pPr>
              <w:pStyle w:val="TableContents"/>
              <w:bidi w:val="0"/>
              <w:spacing w:before="0" w:after="283"/>
              <w:jc w:val="left"/>
              <w:rPr/>
            </w:pPr>
            <w:r>
              <w:rPr/>
              <w:t> </w:t>
            </w:r>
          </w:p>
        </w:tc>
        <w:tc>
          <w:tcPr>
            <w:tcW w:w="307" w:type="dxa"/>
            <w:tcBorders/>
            <w:shd w:fill="CCEEFF" w:val="clear"/>
            <w:tcMar>
              <w:bottom w:w="0" w:type="dxa"/>
            </w:tcMar>
            <w:vAlign w:val="bottom"/>
          </w:tcPr>
          <w:p>
            <w:pPr>
              <w:pStyle w:val="TableContents"/>
              <w:bidi w:val="0"/>
              <w:spacing w:before="0" w:after="283"/>
              <w:jc w:val="left"/>
              <w:rPr/>
            </w:pPr>
            <w:r>
              <w:rPr/>
              <w:t> </w:t>
            </w:r>
          </w:p>
        </w:tc>
        <w:tc>
          <w:tcPr>
            <w:tcW w:w="1197"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669</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2555" w:type="dxa"/>
            <w:tcBorders/>
            <w:tcMar>
              <w:bottom w:w="0" w:type="dxa"/>
            </w:tcM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2029</w:t>
            </w:r>
          </w:p>
        </w:tc>
        <w:tc>
          <w:tcPr>
            <w:tcW w:w="60" w:type="dxa"/>
            <w:tcBorders/>
            <w:tcMar>
              <w:bottom w:w="0" w:type="dxa"/>
            </w:tcMar>
            <w:vAlign w:val="bottom"/>
          </w:tcPr>
          <w:p>
            <w:pPr>
              <w:pStyle w:val="TableContents"/>
              <w:bidi w:val="0"/>
              <w:spacing w:before="0" w:after="283"/>
              <w:jc w:val="left"/>
              <w:rPr/>
            </w:pPr>
            <w:r>
              <w:rPr/>
              <w:t> </w:t>
            </w:r>
          </w:p>
        </w:tc>
        <w:tc>
          <w:tcPr>
            <w:tcW w:w="307" w:type="dxa"/>
            <w:tcBorders/>
            <w:tcMar>
              <w:bottom w:w="0" w:type="dxa"/>
            </w:tcMar>
            <w:vAlign w:val="bottom"/>
          </w:tcPr>
          <w:p>
            <w:pPr>
              <w:pStyle w:val="TableContents"/>
              <w:bidi w:val="0"/>
              <w:spacing w:before="0" w:after="283"/>
              <w:jc w:val="left"/>
              <w:rPr/>
            </w:pPr>
            <w:r>
              <w:rPr/>
              <w:t> </w:t>
            </w:r>
          </w:p>
        </w:tc>
        <w:tc>
          <w:tcPr>
            <w:tcW w:w="1197"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217</w:t>
            </w:r>
          </w:p>
        </w:tc>
        <w:tc>
          <w:tcPr>
            <w:tcW w:w="60" w:type="dxa"/>
            <w:tcBorders/>
            <w:tcMar>
              <w:bottom w:w="0" w:type="dxa"/>
            </w:tcMar>
            <w:vAlign w:val="bottom"/>
          </w:tcPr>
          <w:p>
            <w:pPr>
              <w:pStyle w:val="TableContents"/>
              <w:bidi w:val="0"/>
              <w:spacing w:before="0" w:after="283"/>
              <w:jc w:val="left"/>
              <w:rPr/>
            </w:pPr>
            <w:r>
              <w:rPr/>
              <w:t> </w:t>
            </w:r>
          </w:p>
        </w:tc>
      </w:tr>
      <w:tr>
        <w:trPr/>
        <w:tc>
          <w:tcPr>
            <w:tcW w:w="2555" w:type="dxa"/>
            <w:tcBorders/>
            <w:shd w:fill="CCEEFF" w:val="clear"/>
            <w:tcMar>
              <w:bottom w:w="0" w:type="dxa"/>
            </w:tcM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2030</w:t>
            </w:r>
          </w:p>
        </w:tc>
        <w:tc>
          <w:tcPr>
            <w:tcW w:w="60" w:type="dxa"/>
            <w:tcBorders/>
            <w:shd w:fill="CCEEFF" w:val="clear"/>
            <w:tcMar>
              <w:bottom w:w="0" w:type="dxa"/>
            </w:tcMar>
            <w:vAlign w:val="bottom"/>
          </w:tcPr>
          <w:p>
            <w:pPr>
              <w:pStyle w:val="TableContents"/>
              <w:bidi w:val="0"/>
              <w:spacing w:before="0" w:after="283"/>
              <w:jc w:val="left"/>
              <w:rPr/>
            </w:pPr>
            <w:r>
              <w:rPr/>
              <w:t> </w:t>
            </w:r>
          </w:p>
        </w:tc>
        <w:tc>
          <w:tcPr>
            <w:tcW w:w="307" w:type="dxa"/>
            <w:tcBorders/>
            <w:shd w:fill="CCEEFF" w:val="clear"/>
            <w:tcMar>
              <w:bottom w:w="0" w:type="dxa"/>
            </w:tcMar>
            <w:vAlign w:val="bottom"/>
          </w:tcPr>
          <w:p>
            <w:pPr>
              <w:pStyle w:val="TableContents"/>
              <w:bidi w:val="0"/>
              <w:spacing w:before="0" w:after="283"/>
              <w:jc w:val="left"/>
              <w:rPr/>
            </w:pPr>
            <w:r>
              <w:rPr/>
              <w:t> </w:t>
            </w:r>
          </w:p>
        </w:tc>
        <w:tc>
          <w:tcPr>
            <w:tcW w:w="1197"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2555" w:type="dxa"/>
            <w:tcBorders/>
            <w:tcMar>
              <w:bottom w:w="0" w:type="dxa"/>
            </w:tcM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Thereafter</w:t>
            </w:r>
          </w:p>
        </w:tc>
        <w:tc>
          <w:tcPr>
            <w:tcW w:w="60" w:type="dxa"/>
            <w:tcBorders/>
            <w:tcMar>
              <w:bottom w:w="0" w:type="dxa"/>
            </w:tcMar>
            <w:vAlign w:val="bottom"/>
          </w:tcPr>
          <w:p>
            <w:pPr>
              <w:pStyle w:val="TableContents"/>
              <w:bidi w:val="0"/>
              <w:spacing w:before="0" w:after="283"/>
              <w:jc w:val="left"/>
              <w:rPr/>
            </w:pPr>
            <w:r>
              <w:rPr/>
              <w:t> </w:t>
            </w:r>
          </w:p>
        </w:tc>
        <w:tc>
          <w:tcPr>
            <w:tcW w:w="307" w:type="dxa"/>
            <w:tcBorders>
              <w:bottom w:val="single" w:sz="12" w:space="0" w:color="000000"/>
            </w:tcBorders>
            <w:vAlign w:val="bottom"/>
          </w:tcPr>
          <w:p>
            <w:pPr>
              <w:pStyle w:val="TableContents"/>
              <w:bidi w:val="0"/>
              <w:spacing w:before="0" w:after="283"/>
              <w:jc w:val="left"/>
              <w:rPr/>
            </w:pPr>
            <w:r>
              <w:rPr/>
              <w:t> </w:t>
            </w:r>
          </w:p>
        </w:tc>
        <w:tc>
          <w:tcPr>
            <w:tcW w:w="1197" w:type="dxa"/>
            <w:tcBorders>
              <w:bottom w:val="single" w:sz="12" w:space="0" w:color="000000"/>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1,171</w:t>
            </w:r>
          </w:p>
        </w:tc>
        <w:tc>
          <w:tcPr>
            <w:tcW w:w="60" w:type="dxa"/>
            <w:tcBorders/>
            <w:tcMar>
              <w:bottom w:w="0" w:type="dxa"/>
            </w:tcMar>
            <w:vAlign w:val="bottom"/>
          </w:tcPr>
          <w:p>
            <w:pPr>
              <w:pStyle w:val="TableContents"/>
              <w:bidi w:val="0"/>
              <w:spacing w:before="0" w:after="283"/>
              <w:jc w:val="left"/>
              <w:rPr/>
            </w:pPr>
            <w:r>
              <w:rPr/>
              <w:t> </w:t>
            </w:r>
          </w:p>
        </w:tc>
      </w:tr>
      <w:tr>
        <w:trPr/>
        <w:tc>
          <w:tcPr>
            <w:tcW w:w="2555" w:type="dxa"/>
            <w:tcBorders/>
            <w:shd w:fill="CCEEFF" w:val="clear"/>
            <w:tcMar>
              <w:bottom w:w="0" w:type="dxa"/>
            </w:tcM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Total minimum lease payments</w:t>
            </w:r>
          </w:p>
        </w:tc>
        <w:tc>
          <w:tcPr>
            <w:tcW w:w="60" w:type="dxa"/>
            <w:tcBorders/>
            <w:shd w:fill="CCEEFF" w:val="clear"/>
            <w:tcMar>
              <w:bottom w:w="0" w:type="dxa"/>
            </w:tcMar>
            <w:vAlign w:val="bottom"/>
          </w:tcPr>
          <w:p>
            <w:pPr>
              <w:pStyle w:val="TableContents"/>
              <w:bidi w:val="0"/>
              <w:spacing w:before="0" w:after="283"/>
              <w:jc w:val="left"/>
              <w:rPr/>
            </w:pPr>
            <w:r>
              <w:rPr/>
              <w:t> </w:t>
            </w:r>
          </w:p>
        </w:tc>
        <w:tc>
          <w:tcPr>
            <w:tcW w:w="307" w:type="dxa"/>
            <w:tcBorders/>
            <w:shd w:fill="CCEEFF" w:val="clear"/>
            <w:tcMar>
              <w:bottom w:w="0" w:type="dxa"/>
            </w:tcMar>
            <w:vAlign w:val="bottom"/>
          </w:tcPr>
          <w:p>
            <w:pPr>
              <w:pStyle w:val="TableContents"/>
              <w:bidi w:val="0"/>
              <w:spacing w:before="0" w:after="283"/>
              <w:jc w:val="left"/>
              <w:rPr/>
            </w:pPr>
            <w:r>
              <w:rPr/>
              <w:t> </w:t>
            </w:r>
          </w:p>
        </w:tc>
        <w:tc>
          <w:tcPr>
            <w:tcW w:w="1197"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3,616</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2555" w:type="dxa"/>
            <w:tcBorders/>
            <w:tcMar>
              <w:bottom w:w="0" w:type="dxa"/>
            </w:tcM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Less: imputed interest</w:t>
            </w:r>
          </w:p>
        </w:tc>
        <w:tc>
          <w:tcPr>
            <w:tcW w:w="60" w:type="dxa"/>
            <w:tcBorders/>
            <w:tcMar>
              <w:bottom w:w="0" w:type="dxa"/>
            </w:tcMar>
            <w:vAlign w:val="bottom"/>
          </w:tcPr>
          <w:p>
            <w:pPr>
              <w:pStyle w:val="TableContents"/>
              <w:bidi w:val="0"/>
              <w:spacing w:before="0" w:after="283"/>
              <w:jc w:val="left"/>
              <w:rPr/>
            </w:pPr>
            <w:r>
              <w:rPr/>
              <w:t> </w:t>
            </w:r>
          </w:p>
        </w:tc>
        <w:tc>
          <w:tcPr>
            <w:tcW w:w="307" w:type="dxa"/>
            <w:tcBorders>
              <w:bottom w:val="single" w:sz="12" w:space="0" w:color="000000"/>
            </w:tcBorders>
            <w:vAlign w:val="bottom"/>
          </w:tcPr>
          <w:p>
            <w:pPr>
              <w:pStyle w:val="TableContents"/>
              <w:bidi w:val="0"/>
              <w:spacing w:before="0" w:after="283"/>
              <w:jc w:val="left"/>
              <w:rPr/>
            </w:pPr>
            <w:r>
              <w:rPr/>
              <w:t> </w:t>
            </w:r>
          </w:p>
        </w:tc>
        <w:tc>
          <w:tcPr>
            <w:tcW w:w="1197" w:type="dxa"/>
            <w:tcBorders>
              <w:bottom w:val="single" w:sz="12" w:space="0" w:color="000000"/>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911</w:t>
            </w:r>
          </w:p>
        </w:tc>
        <w:tc>
          <w:tcPr>
            <w:tcW w:w="60" w:type="dxa"/>
            <w:tcBorders/>
            <w:tcMar>
              <w:bottom w:w="0" w:type="dxa"/>
            </w:tcMar>
            <w:vAlign w:val="bottom"/>
          </w:tcPr>
          <w:p>
            <w:pPr>
              <w:pStyle w:val="TableContents"/>
              <w:bidi w:val="0"/>
              <w:spacing w:before="0" w:after="283"/>
              <w:jc w:val="left"/>
              <w:rPr/>
            </w:pPr>
            <w:r>
              <w:rPr/>
              <w:t> </w:t>
            </w:r>
          </w:p>
        </w:tc>
      </w:tr>
      <w:tr>
        <w:trPr/>
        <w:tc>
          <w:tcPr>
            <w:tcW w:w="2555" w:type="dxa"/>
            <w:tcBorders/>
            <w:shd w:fill="CCEEFF" w:val="clear"/>
            <w:tcMar>
              <w:bottom w:w="0" w:type="dxa"/>
            </w:tcMar>
            <w:vAlign w:val="bottom"/>
          </w:tcPr>
          <w:p>
            <w:pPr>
              <w:pStyle w:val="TableContents"/>
              <w:bidi w:val="0"/>
              <w:spacing w:before="0" w:after="0"/>
              <w:ind w:left="180" w:right="0" w:hanging="0"/>
              <w:jc w:val="both"/>
              <w:rPr>
                <w:rFonts w:ascii="Times New Roman" w:hAnsi="Times New Roman"/>
                <w:color w:val="000000"/>
                <w:sz w:val="20"/>
              </w:rPr>
            </w:pPr>
            <w:r>
              <w:rPr>
                <w:rFonts w:ascii="Times New Roman" w:hAnsi="Times New Roman"/>
                <w:color w:val="000000"/>
                <w:sz w:val="20"/>
              </w:rPr>
              <w:t>Total lease liability</w:t>
            </w:r>
          </w:p>
        </w:tc>
        <w:tc>
          <w:tcPr>
            <w:tcW w:w="60" w:type="dxa"/>
            <w:tcBorders/>
            <w:shd w:fill="CCEEFF" w:val="clear"/>
            <w:tcMar>
              <w:bottom w:w="0" w:type="dxa"/>
            </w:tcMar>
            <w:vAlign w:val="bottom"/>
          </w:tcPr>
          <w:p>
            <w:pPr>
              <w:pStyle w:val="TableContents"/>
              <w:bidi w:val="0"/>
              <w:spacing w:before="0" w:after="283"/>
              <w:jc w:val="left"/>
              <w:rPr/>
            </w:pPr>
            <w:r>
              <w:rPr/>
              <w:t> </w:t>
            </w:r>
          </w:p>
        </w:tc>
        <w:tc>
          <w:tcPr>
            <w:tcW w:w="307" w:type="dxa"/>
            <w:tcBorders>
              <w:bottom w:val="double" w:sz="8" w:space="0" w:color="000000"/>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97" w:type="dxa"/>
            <w:tcBorders>
              <w:bottom w:val="double" w:sz="8" w:space="0" w:color="000000"/>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2,705</w:t>
            </w:r>
          </w:p>
        </w:tc>
        <w:tc>
          <w:tcPr>
            <w:tcW w:w="6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 Redeemable Convertible Preferred Stock and Common Stock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had authority to issue 201,150,624 shares of stock as of March 31, 2026 and December 31, 2025, consisting of 143,329,269 shares of Common Stock, $0.0001 par value, as of March 31, 2026 and December 31, 2025; and 57,821,355 shares of Preferred Stock, $0.0001 par value, as of March 31, 2026 and December 31, 2025.</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March 31, 2026, the Company’s redeemable convertible preferred stock consisted of the following (in thousands, except share and per share data):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65" w:name="zb706cf6c6f8642ec925e2f8ce0cc0539"/>
      <w:bookmarkStart w:id="166" w:name="zb706cf6c6f8642ec925e2f8ce0cc0539"/>
      <w:bookmarkEnd w:id="166"/>
    </w:p>
    <w:tbl>
      <w:tblPr>
        <w:tblW w:w="7868" w:type="dxa"/>
        <w:jc w:val="left"/>
        <w:tblInd w:w="0" w:type="dxa"/>
        <w:tblLayout w:type="fixed"/>
        <w:tblCellMar>
          <w:top w:w="0" w:type="dxa"/>
          <w:left w:w="0" w:type="dxa"/>
          <w:bottom w:w="0" w:type="dxa"/>
          <w:right w:w="0" w:type="dxa"/>
        </w:tblCellMar>
      </w:tblPr>
      <w:tblGrid>
        <w:gridCol w:w="1205"/>
        <w:gridCol w:w="60"/>
        <w:gridCol w:w="60"/>
        <w:gridCol w:w="950"/>
        <w:gridCol w:w="60"/>
        <w:gridCol w:w="60"/>
        <w:gridCol w:w="68"/>
        <w:gridCol w:w="1091"/>
        <w:gridCol w:w="60"/>
        <w:gridCol w:w="60"/>
        <w:gridCol w:w="230"/>
        <w:gridCol w:w="704"/>
        <w:gridCol w:w="60"/>
        <w:gridCol w:w="60"/>
        <w:gridCol w:w="246"/>
        <w:gridCol w:w="749"/>
        <w:gridCol w:w="60"/>
        <w:gridCol w:w="60"/>
        <w:gridCol w:w="125"/>
        <w:gridCol w:w="695"/>
        <w:gridCol w:w="60"/>
        <w:gridCol w:w="60"/>
        <w:gridCol w:w="156"/>
        <w:gridCol w:w="869"/>
        <w:gridCol w:w="60"/>
      </w:tblGrid>
      <w:tr>
        <w:trPr/>
        <w:tc>
          <w:tcPr>
            <w:tcW w:w="1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43" w:type="dxa"/>
            <w:gridSpan w:val="2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2026</w:t>
            </w:r>
          </w:p>
        </w:tc>
        <w:tc>
          <w:tcPr>
            <w:tcW w:w="60"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Shares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Authorized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Shares Issued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and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Outstanding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Issue Price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Per Share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Conversion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Price Per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Share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Net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Carrying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Aggregate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Liquidation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Preference</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Series Seed-1*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10,000</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Series Seed-2*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5,000</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Series 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9,411,765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9,411,765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31,378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16,000</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Series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20,080,321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20,080,321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82,826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50,000</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Series C*</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13,329,269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13,329,269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46,002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35,000</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57,821,355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bottom w:val="double" w:sz="8" w:space="0" w:color="000000"/>
            </w:tcBorders>
            <w:tcMar>
              <w:bottom w:w="28" w:type="dxa"/>
            </w:tcMar>
            <w:vAlign w:val="bottom"/>
          </w:tcPr>
          <w:p>
            <w:pPr>
              <w:pStyle w:val="TableContents"/>
              <w:bidi w:val="0"/>
              <w:spacing w:before="0" w:after="283"/>
              <w:jc w:val="left"/>
              <w:rPr/>
            </w:pPr>
            <w:r>
              <w:rPr/>
              <w:t> </w:t>
            </w:r>
          </w:p>
        </w:tc>
        <w:tc>
          <w:tcPr>
            <w:tcW w:w="109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57,821,355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0"/>
              <w:jc w:val="lef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704" w:type="dxa"/>
            <w:tcBorders/>
            <w:vAlign w:val="bottom"/>
          </w:tcPr>
          <w:p>
            <w:pPr>
              <w:pStyle w:val="TableContents"/>
              <w:bidi w:val="0"/>
              <w:spacing w:before="0" w:after="0"/>
              <w:jc w:val="lef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0"/>
              <w:jc w:val="lef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749" w:type="dxa"/>
            <w:tcBorders/>
            <w:vAlign w:val="bottom"/>
          </w:tcPr>
          <w:p>
            <w:pPr>
              <w:pStyle w:val="TableContents"/>
              <w:bidi w:val="0"/>
              <w:spacing w:before="0" w:after="0"/>
              <w:jc w:val="lef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177,403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bottom w:val="double" w:sz="8" w:space="0" w:color="000000"/>
            </w:tcBorders>
            <w:tcMar>
              <w:bottom w:w="28" w:type="dxa"/>
            </w:tcM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116,000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of December 31, 2025, the Company’s redeemable convertible preferred stock consisted of the following (in thousands, except share and per share data):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67" w:name="z509e0125fcba4b2593bf6466d8b46adf"/>
      <w:bookmarkStart w:id="168" w:name="z509e0125fcba4b2593bf6466d8b46adf"/>
      <w:bookmarkEnd w:id="168"/>
    </w:p>
    <w:tbl>
      <w:tblPr>
        <w:tblW w:w="7868" w:type="dxa"/>
        <w:jc w:val="left"/>
        <w:tblInd w:w="0" w:type="dxa"/>
        <w:tblLayout w:type="fixed"/>
        <w:tblCellMar>
          <w:top w:w="0" w:type="dxa"/>
          <w:left w:w="0" w:type="dxa"/>
          <w:bottom w:w="0" w:type="dxa"/>
          <w:right w:w="0" w:type="dxa"/>
        </w:tblCellMar>
      </w:tblPr>
      <w:tblGrid>
        <w:gridCol w:w="1205"/>
        <w:gridCol w:w="60"/>
        <w:gridCol w:w="60"/>
        <w:gridCol w:w="950"/>
        <w:gridCol w:w="60"/>
        <w:gridCol w:w="60"/>
        <w:gridCol w:w="68"/>
        <w:gridCol w:w="1091"/>
        <w:gridCol w:w="60"/>
        <w:gridCol w:w="60"/>
        <w:gridCol w:w="230"/>
        <w:gridCol w:w="704"/>
        <w:gridCol w:w="60"/>
        <w:gridCol w:w="60"/>
        <w:gridCol w:w="246"/>
        <w:gridCol w:w="749"/>
        <w:gridCol w:w="60"/>
        <w:gridCol w:w="60"/>
        <w:gridCol w:w="125"/>
        <w:gridCol w:w="695"/>
        <w:gridCol w:w="60"/>
        <w:gridCol w:w="60"/>
        <w:gridCol w:w="156"/>
        <w:gridCol w:w="869"/>
        <w:gridCol w:w="60"/>
      </w:tblGrid>
      <w:tr>
        <w:trPr/>
        <w:tc>
          <w:tcPr>
            <w:tcW w:w="1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43" w:type="dxa"/>
            <w:gridSpan w:val="2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 2025</w:t>
            </w:r>
          </w:p>
        </w:tc>
        <w:tc>
          <w:tcPr>
            <w:tcW w:w="60"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Shares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Authorized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Shares Issued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and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Outstanding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Issue Price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Per Share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Conversion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Price Per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Share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Net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Carrying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Aggregate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Liquidation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Preference</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Series Seed-1*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10,000</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Series Seed-2*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5,000</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Series 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9,411,765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9,411,765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30,606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16,000</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Series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20,080,321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20,080,321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80,790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50,000</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Series C*</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13,329,269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13,329,269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44,874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35,000</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57,821,355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bottom w:val="double" w:sz="8" w:space="0" w:color="000000"/>
            </w:tcBorders>
            <w:tcMar>
              <w:bottom w:w="28" w:type="dxa"/>
            </w:tcMar>
            <w:vAlign w:val="bottom"/>
          </w:tcPr>
          <w:p>
            <w:pPr>
              <w:pStyle w:val="TableContents"/>
              <w:bidi w:val="0"/>
              <w:spacing w:before="0" w:after="283"/>
              <w:jc w:val="left"/>
              <w:rPr/>
            </w:pPr>
            <w:r>
              <w:rPr/>
              <w:t> </w:t>
            </w:r>
          </w:p>
        </w:tc>
        <w:tc>
          <w:tcPr>
            <w:tcW w:w="109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57,821,355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0"/>
              <w:jc w:val="lef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704" w:type="dxa"/>
            <w:tcBorders/>
            <w:vAlign w:val="bottom"/>
          </w:tcPr>
          <w:p>
            <w:pPr>
              <w:pStyle w:val="TableContents"/>
              <w:bidi w:val="0"/>
              <w:spacing w:before="0" w:after="0"/>
              <w:jc w:val="lef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0"/>
              <w:jc w:val="lef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749" w:type="dxa"/>
            <w:tcBorders/>
            <w:vAlign w:val="bottom"/>
          </w:tcPr>
          <w:p>
            <w:pPr>
              <w:pStyle w:val="TableContents"/>
              <w:bidi w:val="0"/>
              <w:spacing w:before="0" w:after="0"/>
              <w:jc w:val="lef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173,467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bottom w:val="double" w:sz="8" w:space="0" w:color="000000"/>
            </w:tcBorders>
            <w:tcMar>
              <w:bottom w:w="28" w:type="dxa"/>
            </w:tcM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116,000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bookmarkStart w:id="169" w:name="z50db9a6cc498465db275b80ad3553704"/>
      <w:bookmarkStart w:id="170" w:name="z50db9a6cc498465db275b80ad3553704"/>
      <w:bookmarkEnd w:id="170"/>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6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As of March 31, 2026 and December 31, 2025, all of the shares of Series Seed-I and Series Seed-2, 4,016,064 shares of Series B, and 2,285,018 shares of Series C, were issued to GNI USA, Inc.; and 4,819,278 shares of Series B were issued to GNI Group Ltd.</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 Collaborations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has no products approved for commercial sales and has not generated any revenue from commercial product sales. The total revenue to date has been generated principally from collaboration and license agreements.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Company’s contract liabilities represent primarily up-front, nonrefundable payment received from the Astellas Agreement which was included in deferred revenue in the consolidated balance sheets. Contract liabilities are released and revenues are recognized over time based on the progress towards the completion of performance obligations.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tables present changes in the Company’s contract liability balances (in thousands):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71" w:name="zd2257d96652749c69ba78927b0cfe712"/>
      <w:bookmarkStart w:id="172" w:name="zd2257d96652749c69ba78927b0cfe712"/>
      <w:bookmarkEnd w:id="172"/>
    </w:p>
    <w:tbl>
      <w:tblPr>
        <w:tblW w:w="8695" w:type="dxa"/>
        <w:jc w:val="left"/>
        <w:tblInd w:w="0" w:type="dxa"/>
        <w:tblLayout w:type="fixed"/>
        <w:tblCellMar>
          <w:top w:w="0" w:type="dxa"/>
          <w:left w:w="0" w:type="dxa"/>
          <w:bottom w:w="0" w:type="dxa"/>
          <w:right w:w="0" w:type="dxa"/>
        </w:tblCellMar>
      </w:tblPr>
      <w:tblGrid>
        <w:gridCol w:w="7235"/>
        <w:gridCol w:w="60"/>
        <w:gridCol w:w="125"/>
        <w:gridCol w:w="485"/>
        <w:gridCol w:w="60"/>
        <w:gridCol w:w="60"/>
        <w:gridCol w:w="125"/>
        <w:gridCol w:w="485"/>
        <w:gridCol w:w="60"/>
      </w:tblGrid>
      <w:tr>
        <w:trPr/>
        <w:tc>
          <w:tcPr>
            <w:tcW w:w="7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tc>
        <w:tc>
          <w:tcPr>
            <w:tcW w:w="60" w:type="dxa"/>
            <w:tcBorders/>
            <w:vAlign w:val="bottom"/>
          </w:tcPr>
          <w:p>
            <w:pPr>
              <w:pStyle w:val="TableContents"/>
              <w:bidi w:val="0"/>
              <w:spacing w:before="0" w:after="283"/>
              <w:jc w:val="left"/>
              <w:rPr/>
            </w:pPr>
            <w:r>
              <w:rPr/>
              <w:t> </w:t>
            </w:r>
          </w:p>
        </w:tc>
      </w:tr>
      <w:tr>
        <w:trPr/>
        <w:tc>
          <w:tcPr>
            <w:tcW w:w="7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r>
      <w:tr>
        <w:trPr/>
        <w:tc>
          <w:tcPr>
            <w:tcW w:w="7235"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Contract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4,824</w:t>
            </w:r>
          </w:p>
        </w:tc>
        <w:tc>
          <w:tcPr>
            <w:tcW w:w="60" w:type="dxa"/>
            <w:tcBorders/>
            <w:shd w:fill="CCEEFF" w:val="clear"/>
            <w:vAlign w:val="bottom"/>
          </w:tcPr>
          <w:p>
            <w:pPr>
              <w:pStyle w:val="TableContents"/>
              <w:bidi w:val="0"/>
              <w:spacing w:before="0" w:after="283"/>
              <w:jc w:val="left"/>
              <w:rPr/>
            </w:pPr>
            <w:r>
              <w:rPr/>
              <w:t> </w:t>
            </w:r>
          </w:p>
        </w:tc>
      </w:tr>
      <w:tr>
        <w:trPr/>
        <w:tc>
          <w:tcPr>
            <w:tcW w:w="7235"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Revenue recognized in the year from the contract liability at the beginning of the period: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6,292</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9. Income Taxes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did not provide for any income taxes in its condensed consolidated statement of operations and comprehensive (loss) income for the three months ended March 31, 2026 and 2025. Management considered the Company’s history of cumulative net losses incurred since inception, its early stage of development of its product candidates, and its projection of book and tax losses for the year ending December 31, 2026. Based on its evaluation of the positive and negative evidence bearing upon its ability to realize its deferred tax assets, the Company determined that it is more likely than not that it will not realize such benefits. Accordingly, the Company has recorded a full valuation allowance against its deferred tax assets as of March 31, 2026 and December 31, 2025, and recorded $71 and  nil income taxes benefit for the three months ended March 31, 2026, and 2025, respectively. Management reevaluates the positive and negative evidence at each reporting period.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10. Net Loss Per Share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presents the calculation of basic and diluted net loss per share attributable to common stockholders (in thousands):</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73" w:name="za75d5a1891e748d2bcf1a8a1743090db"/>
      <w:bookmarkStart w:id="174" w:name="za75d5a1891e748d2bcf1a8a1743090db"/>
      <w:bookmarkEnd w:id="174"/>
    </w:p>
    <w:tbl>
      <w:tblPr>
        <w:tblW w:w="8818" w:type="dxa"/>
        <w:jc w:val="left"/>
        <w:tblInd w:w="0" w:type="dxa"/>
        <w:tblLayout w:type="fixed"/>
        <w:tblCellMar>
          <w:top w:w="0" w:type="dxa"/>
          <w:left w:w="0" w:type="dxa"/>
          <w:bottom w:w="0" w:type="dxa"/>
          <w:right w:w="0" w:type="dxa"/>
        </w:tblCellMar>
      </w:tblPr>
      <w:tblGrid>
        <w:gridCol w:w="6020"/>
        <w:gridCol w:w="60"/>
        <w:gridCol w:w="144"/>
        <w:gridCol w:w="1097"/>
        <w:gridCol w:w="92"/>
        <w:gridCol w:w="69"/>
        <w:gridCol w:w="144"/>
        <w:gridCol w:w="1097"/>
        <w:gridCol w:w="95"/>
      </w:tblGrid>
      <w:tr>
        <w:trPr/>
        <w:tc>
          <w:tcPr>
            <w:tcW w:w="60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3"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March 31,</w:t>
            </w:r>
          </w:p>
        </w:tc>
        <w:tc>
          <w:tcPr>
            <w:tcW w:w="95" w:type="dxa"/>
            <w:tcBorders/>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1"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92" w:type="dxa"/>
            <w:tcBorders/>
            <w:vAlign w:val="center"/>
          </w:tcPr>
          <w:p>
            <w:pPr>
              <w:pStyle w:val="TableContents"/>
              <w:bidi w:val="0"/>
              <w:spacing w:before="0" w:after="283"/>
              <w:jc w:val="center"/>
              <w:rPr/>
            </w:pPr>
            <w:r>
              <w:rPr/>
              <w:t> </w:t>
            </w:r>
          </w:p>
        </w:tc>
        <w:tc>
          <w:tcPr>
            <w:tcW w:w="69" w:type="dxa"/>
            <w:tcBorders/>
            <w:vAlign w:val="center"/>
          </w:tcPr>
          <w:p>
            <w:pPr>
              <w:pStyle w:val="TableContents"/>
              <w:bidi w:val="0"/>
              <w:spacing w:before="0" w:after="283"/>
              <w:jc w:val="center"/>
              <w:rPr/>
            </w:pPr>
            <w:r>
              <w:rPr/>
              <w:t> </w:t>
            </w:r>
          </w:p>
        </w:tc>
        <w:tc>
          <w:tcPr>
            <w:tcW w:w="1241"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95" w:type="dxa"/>
            <w:tcBorders/>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Numerator:</w:t>
            </w:r>
          </w:p>
        </w:tc>
        <w:tc>
          <w:tcPr>
            <w:tcW w:w="60"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 income</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(8,719</w:t>
            </w:r>
          </w:p>
        </w:tc>
        <w:tc>
          <w:tcPr>
            <w:tcW w:w="9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1,204</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Accretion of redeemable convertible preferred stock</w:t>
            </w:r>
          </w:p>
        </w:tc>
        <w:tc>
          <w:tcPr>
            <w:tcW w:w="60"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(3,936</w:t>
            </w:r>
          </w:p>
        </w:tc>
        <w:tc>
          <w:tcPr>
            <w:tcW w:w="9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 w:type="dxa"/>
            <w:tcBorders/>
            <w:vAlign w:val="bottom"/>
          </w:tcPr>
          <w:p>
            <w:pPr>
              <w:pStyle w:val="TableContents"/>
              <w:bidi w:val="0"/>
              <w:spacing w:before="0" w:after="283"/>
              <w:jc w:val="lef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0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60"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(12,655</w:t>
            </w:r>
          </w:p>
        </w:tc>
        <w:tc>
          <w:tcPr>
            <w:tcW w:w="9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(2,361</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0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Denominator:</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92"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Weighted-average common stock outstanding - basic and diluted</w:t>
            </w:r>
          </w:p>
        </w:tc>
        <w:tc>
          <w:tcPr>
            <w:tcW w:w="60"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10,023,615</w:t>
            </w:r>
          </w:p>
        </w:tc>
        <w:tc>
          <w:tcPr>
            <w:tcW w:w="92"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10,023,615</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loss per share attributable to common stockholders - basic and diluted</w:t>
            </w:r>
          </w:p>
        </w:tc>
        <w:tc>
          <w:tcPr>
            <w:tcW w:w="60" w:type="dxa"/>
            <w:tcBorders/>
            <w:vAlign w:val="bottom"/>
          </w:tcPr>
          <w:p>
            <w:pPr>
              <w:pStyle w:val="TableContents"/>
              <w:bidi w:val="0"/>
              <w:spacing w:before="0" w:after="283"/>
              <w:jc w:val="lef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w:t>
            </w:r>
          </w:p>
        </w:tc>
        <w:tc>
          <w:tcPr>
            <w:tcW w:w="9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 w:type="dxa"/>
            <w:tcBorders/>
            <w:vAlign w:val="bottom"/>
          </w:tcPr>
          <w:p>
            <w:pPr>
              <w:pStyle w:val="TableContents"/>
              <w:bidi w:val="0"/>
              <w:spacing w:before="0" w:after="283"/>
              <w:jc w:val="lef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(0.24</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the three months ended March 31, 2026 and 2025 the effects of all outstanding redeemable convertible preferred stock and share options were excluded from the computation of diluted loss per share as their effects would be anti-dilutive.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11. Segments Information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primary measure of segment profitability for the Company’s operating segment is considered to be consolidated net loss which is used by the CODMs to monitor budget versus actual results to make operating decisions, such as allocating resources to the research and development activities. Significant segment expenses reviewed by the CODM on a regular basis are research and development expenses and general and administrative expenses. Other segment items include foreign currency exchange gain, interest income, other income, net and income tax benefit.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sets forth the Company’s segment information for revenue, segment net income (loss), and significant expenses (in thousands):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75" w:name="ze283e1d09442494fb01ad515b781bb2c"/>
      <w:bookmarkStart w:id="176" w:name="ze283e1d09442494fb01ad515b781bb2c"/>
      <w:bookmarkEnd w:id="176"/>
    </w:p>
    <w:tbl>
      <w:tblPr>
        <w:tblW w:w="5772" w:type="dxa"/>
        <w:jc w:val="left"/>
        <w:tblInd w:w="0" w:type="dxa"/>
        <w:tblLayout w:type="fixed"/>
        <w:tblCellMar>
          <w:top w:w="0" w:type="dxa"/>
          <w:left w:w="0" w:type="dxa"/>
          <w:bottom w:w="0" w:type="dxa"/>
          <w:right w:w="0" w:type="dxa"/>
        </w:tblCellMar>
      </w:tblPr>
      <w:tblGrid>
        <w:gridCol w:w="2990"/>
        <w:gridCol w:w="60"/>
        <w:gridCol w:w="232"/>
        <w:gridCol w:w="1015"/>
        <w:gridCol w:w="149"/>
        <w:gridCol w:w="111"/>
        <w:gridCol w:w="232"/>
        <w:gridCol w:w="903"/>
        <w:gridCol w:w="80"/>
      </w:tblGrid>
      <w:tr>
        <w:trPr/>
        <w:tc>
          <w:tcPr>
            <w:tcW w:w="29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2"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March 31,</w:t>
            </w:r>
          </w:p>
        </w:tc>
        <w:tc>
          <w:tcPr>
            <w:tcW w:w="80" w:type="dxa"/>
            <w:tcBorders/>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149" w:type="dxa"/>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center"/>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3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Collaboration revenue</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1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1,911</w:t>
            </w:r>
          </w:p>
        </w:tc>
        <w:tc>
          <w:tcPr>
            <w:tcW w:w="14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8,513</w:t>
            </w:r>
          </w:p>
        </w:tc>
        <w:tc>
          <w:tcPr>
            <w:tcW w:w="80" w:type="dxa"/>
            <w:tcBorders/>
            <w:shd w:fill="CCEEFF" w:val="clear"/>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Less (add):</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Research and development expenses</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4,743</w:t>
            </w:r>
          </w:p>
        </w:tc>
        <w:tc>
          <w:tcPr>
            <w:tcW w:w="14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4,996</w:t>
            </w:r>
          </w:p>
        </w:tc>
        <w:tc>
          <w:tcPr>
            <w:tcW w:w="80" w:type="dxa"/>
            <w:tcBorders/>
            <w:shd w:fill="CCEEFF" w:val="clear"/>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General and administrative expenses</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6,785</w:t>
            </w:r>
          </w:p>
        </w:tc>
        <w:tc>
          <w:tcPr>
            <w:tcW w:w="14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3,249</w:t>
            </w:r>
          </w:p>
        </w:tc>
        <w:tc>
          <w:tcPr>
            <w:tcW w:w="80"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segment items</w:t>
            </w:r>
          </w:p>
        </w:tc>
        <w:tc>
          <w:tcPr>
            <w:tcW w:w="60" w:type="dxa"/>
            <w:tcBorders/>
            <w:shd w:fill="CCEEFF" w:val="clear"/>
            <w:vAlign w:val="bottom"/>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(898</w:t>
            </w:r>
          </w:p>
        </w:tc>
        <w:tc>
          <w:tcPr>
            <w:tcW w:w="14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1" w:type="dxa"/>
            <w:tcBorders/>
            <w:shd w:fill="CCEEFF" w:val="clear"/>
            <w:vAlign w:val="bottom"/>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9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Segment net (loss) income</w:t>
            </w:r>
          </w:p>
        </w:tc>
        <w:tc>
          <w:tcPr>
            <w:tcW w:w="60" w:type="dxa"/>
            <w:tcBorders/>
            <w:vAlign w:val="bottom"/>
          </w:tcPr>
          <w:p>
            <w:pPr>
              <w:pStyle w:val="TableContents"/>
              <w:bidi w:val="0"/>
              <w:spacing w:before="0" w:after="283"/>
              <w:jc w:val="lef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(8,719</w:t>
            </w:r>
          </w:p>
        </w:tc>
        <w:tc>
          <w:tcPr>
            <w:tcW w:w="14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1" w:type="dxa"/>
            <w:tcBorders/>
            <w:vAlign w:val="bottom"/>
          </w:tcPr>
          <w:p>
            <w:pPr>
              <w:pStyle w:val="TableContents"/>
              <w:bidi w:val="0"/>
              <w:spacing w:before="0" w:after="283"/>
              <w:jc w:val="lef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1,204</w:t>
            </w:r>
          </w:p>
        </w:tc>
        <w:tc>
          <w:tcPr>
            <w:tcW w:w="80"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Reconciliation of profit or loss</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Adjustments and reconciling items</w:t>
            </w:r>
          </w:p>
        </w:tc>
        <w:tc>
          <w:tcPr>
            <w:tcW w:w="60" w:type="dxa"/>
            <w:tcBorders/>
            <w:shd w:fill="CCEEFF" w:val="clear"/>
            <w:vAlign w:val="bottom"/>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4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Consolidated net (loss) income</w:t>
            </w:r>
          </w:p>
        </w:tc>
        <w:tc>
          <w:tcPr>
            <w:tcW w:w="60" w:type="dxa"/>
            <w:tcBorders/>
            <w:vAlign w:val="bottom"/>
          </w:tcPr>
          <w:p>
            <w:pPr>
              <w:pStyle w:val="TableContents"/>
              <w:bidi w:val="0"/>
              <w:spacing w:before="0" w:after="283"/>
              <w:jc w:val="left"/>
              <w:rPr/>
            </w:pPr>
            <w:r>
              <w:rPr/>
              <w:t> </w:t>
            </w:r>
          </w:p>
        </w:tc>
        <w:tc>
          <w:tcPr>
            <w:tcW w:w="232" w:type="dxa"/>
            <w:tcBorders>
              <w:bottom w:val="double" w:sz="8" w:space="0" w:color="000000"/>
            </w:tcBorders>
            <w:tcMar>
              <w:bottom w:w="28" w:type="dxa"/>
            </w:tcMar>
            <w:vAlign w:val="bottom"/>
          </w:tcPr>
          <w:p>
            <w:pPr>
              <w:pStyle w:val="TableContents"/>
              <w:bidi w:val="0"/>
              <w:spacing w:before="0" w:after="283"/>
              <w:jc w:val="left"/>
              <w:rPr/>
            </w:pPr>
            <w:r>
              <w:rPr/>
              <w:t> </w:t>
            </w:r>
          </w:p>
        </w:tc>
        <w:tc>
          <w:tcPr>
            <w:tcW w:w="101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(8,719</w:t>
            </w:r>
          </w:p>
        </w:tc>
        <w:tc>
          <w:tcPr>
            <w:tcW w:w="14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1" w:type="dxa"/>
            <w:tcBorders/>
            <w:vAlign w:val="bottom"/>
          </w:tcPr>
          <w:p>
            <w:pPr>
              <w:pStyle w:val="TableContents"/>
              <w:bidi w:val="0"/>
              <w:spacing w:before="0" w:after="283"/>
              <w:jc w:val="left"/>
              <w:rPr/>
            </w:pPr>
            <w:r>
              <w:rPr/>
              <w:t> </w:t>
            </w:r>
          </w:p>
        </w:tc>
        <w:tc>
          <w:tcPr>
            <w:tcW w:w="232" w:type="dxa"/>
            <w:tcBorders>
              <w:bottom w:val="double" w:sz="8" w:space="0" w:color="000000"/>
            </w:tcBorders>
            <w:tcMar>
              <w:bottom w:w="28" w:type="dxa"/>
            </w:tcMar>
            <w:vAlign w:val="bottom"/>
          </w:tcPr>
          <w:p>
            <w:pPr>
              <w:pStyle w:val="TableContents"/>
              <w:bidi w:val="0"/>
              <w:spacing w:before="0" w:after="283"/>
              <w:jc w:val="left"/>
              <w:rPr/>
            </w:pPr>
            <w:r>
              <w:rPr/>
              <w:t> </w:t>
            </w:r>
          </w:p>
        </w:tc>
        <w:tc>
          <w:tcPr>
            <w:tcW w:w="90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1,204</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Geographic Information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Collaboration revenue consist of the following (in thousands):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77" w:name="zd9e69b72d0b840fb8d6c52b799285232"/>
      <w:bookmarkStart w:id="178" w:name="zd9e69b72d0b840fb8d6c52b799285232"/>
      <w:bookmarkEnd w:id="178"/>
    </w:p>
    <w:tbl>
      <w:tblPr>
        <w:tblW w:w="4642" w:type="dxa"/>
        <w:jc w:val="left"/>
        <w:tblInd w:w="0" w:type="dxa"/>
        <w:tblLayout w:type="fixed"/>
        <w:tblCellMar>
          <w:top w:w="0" w:type="dxa"/>
          <w:left w:w="0" w:type="dxa"/>
          <w:bottom w:w="0" w:type="dxa"/>
          <w:right w:w="0" w:type="dxa"/>
        </w:tblCellMar>
      </w:tblPr>
      <w:tblGrid>
        <w:gridCol w:w="1865"/>
        <w:gridCol w:w="60"/>
        <w:gridCol w:w="246"/>
        <w:gridCol w:w="957"/>
        <w:gridCol w:w="118"/>
        <w:gridCol w:w="118"/>
        <w:gridCol w:w="246"/>
        <w:gridCol w:w="957"/>
        <w:gridCol w:w="75"/>
      </w:tblGrid>
      <w:tr>
        <w:trPr/>
        <w:tc>
          <w:tcPr>
            <w:tcW w:w="18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2"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March 31,</w:t>
            </w:r>
          </w:p>
        </w:tc>
        <w:tc>
          <w:tcPr>
            <w:tcW w:w="75" w:type="dxa"/>
            <w:tcBorders/>
            <w:vAlign w:val="bottom"/>
          </w:tcPr>
          <w:p>
            <w:pPr>
              <w:pStyle w:val="TableContents"/>
              <w:bidi w:val="0"/>
              <w:spacing w:before="0" w:after="283"/>
              <w:jc w:val="left"/>
              <w:rPr/>
            </w:pPr>
            <w:r>
              <w:rPr/>
              <w:t> </w:t>
            </w:r>
          </w:p>
        </w:tc>
      </w:tr>
      <w:tr>
        <w:trPr/>
        <w:tc>
          <w:tcPr>
            <w:tcW w:w="18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3"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118" w:type="dxa"/>
            <w:tcBorders/>
            <w:vAlign w:val="center"/>
          </w:tcPr>
          <w:p>
            <w:pPr>
              <w:pStyle w:val="TableContents"/>
              <w:bidi w:val="0"/>
              <w:spacing w:before="0" w:after="283"/>
              <w:jc w:val="center"/>
              <w:rPr/>
            </w:pPr>
            <w:r>
              <w:rPr/>
              <w:t> </w:t>
            </w:r>
          </w:p>
        </w:tc>
        <w:tc>
          <w:tcPr>
            <w:tcW w:w="118" w:type="dxa"/>
            <w:tcBorders/>
            <w:vAlign w:val="center"/>
          </w:tcPr>
          <w:p>
            <w:pPr>
              <w:pStyle w:val="TableContents"/>
              <w:bidi w:val="0"/>
              <w:spacing w:before="0" w:after="283"/>
              <w:jc w:val="center"/>
              <w:rPr/>
            </w:pPr>
            <w:r>
              <w:rPr/>
              <w:t> </w:t>
            </w:r>
          </w:p>
        </w:tc>
        <w:tc>
          <w:tcPr>
            <w:tcW w:w="1203"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75" w:type="dxa"/>
            <w:tcBorders/>
            <w:vAlign w:val="bottom"/>
          </w:tcPr>
          <w:p>
            <w:pPr>
              <w:pStyle w:val="TableContents"/>
              <w:bidi w:val="0"/>
              <w:spacing w:before="0" w:after="283"/>
              <w:jc w:val="left"/>
              <w:rPr/>
            </w:pPr>
            <w:r>
              <w:rPr/>
              <w:t> </w:t>
            </w:r>
          </w:p>
        </w:tc>
      </w:tr>
      <w:tr>
        <w:trPr/>
        <w:tc>
          <w:tcPr>
            <w:tcW w:w="18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86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Collaboration revenue</w:t>
            </w:r>
          </w:p>
        </w:tc>
        <w:tc>
          <w:tcPr>
            <w:tcW w:w="60"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8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United States</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928</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4,101</w:t>
            </w:r>
          </w:p>
        </w:tc>
        <w:tc>
          <w:tcPr>
            <w:tcW w:w="75" w:type="dxa"/>
            <w:tcBorders/>
            <w:shd w:fill="CCEEFF" w:val="clear"/>
            <w:vAlign w:val="bottom"/>
          </w:tcPr>
          <w:p>
            <w:pPr>
              <w:pStyle w:val="TableContents"/>
              <w:bidi w:val="0"/>
              <w:spacing w:before="0" w:after="283"/>
              <w:jc w:val="left"/>
              <w:rPr/>
            </w:pPr>
            <w:r>
              <w:rPr/>
              <w:t> </w:t>
            </w:r>
          </w:p>
        </w:tc>
      </w:tr>
      <w:tr>
        <w:trPr/>
        <w:tc>
          <w:tcPr>
            <w:tcW w:w="186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China</w:t>
            </w:r>
          </w:p>
        </w:tc>
        <w:tc>
          <w:tcPr>
            <w:tcW w:w="60" w:type="dxa"/>
            <w:tcBorders/>
            <w:vAlign w:val="bottom"/>
          </w:tcPr>
          <w:p>
            <w:pPr>
              <w:pStyle w:val="TableContents"/>
              <w:bidi w:val="0"/>
              <w:spacing w:before="0" w:after="283"/>
              <w:jc w:val="left"/>
              <w:rPr/>
            </w:pPr>
            <w:r>
              <w:rPr/>
              <w:t> </w:t>
            </w:r>
          </w:p>
        </w:tc>
        <w:tc>
          <w:tcPr>
            <w:tcW w:w="24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983</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4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4,412</w:t>
            </w:r>
          </w:p>
        </w:tc>
        <w:tc>
          <w:tcPr>
            <w:tcW w:w="75" w:type="dxa"/>
            <w:tcBorders/>
            <w:vAlign w:val="bottom"/>
          </w:tcPr>
          <w:p>
            <w:pPr>
              <w:pStyle w:val="TableContents"/>
              <w:bidi w:val="0"/>
              <w:spacing w:before="0" w:after="283"/>
              <w:jc w:val="left"/>
              <w:rPr/>
            </w:pPr>
            <w:r>
              <w:rPr/>
              <w:t> </w:t>
            </w:r>
          </w:p>
        </w:tc>
      </w:tr>
      <w:tr>
        <w:trPr/>
        <w:tc>
          <w:tcPr>
            <w:tcW w:w="18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left"/>
              <w:rPr/>
            </w:pPr>
            <w:r>
              <w:rPr/>
              <w:t> </w:t>
            </w:r>
          </w:p>
        </w:tc>
        <w:tc>
          <w:tcPr>
            <w:tcW w:w="24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5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1,911</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4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5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8,513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br/>
        <w:t>Long-lived assets consist of the following (in thousands):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79" w:name="ze3309aac64df4613a41e223bfc7eff88"/>
      <w:bookmarkStart w:id="180" w:name="ze3309aac64df4613a41e223bfc7eff88"/>
      <w:bookmarkEnd w:id="180"/>
    </w:p>
    <w:tbl>
      <w:tblPr>
        <w:tblW w:w="4237" w:type="dxa"/>
        <w:jc w:val="left"/>
        <w:tblInd w:w="0" w:type="dxa"/>
        <w:tblLayout w:type="fixed"/>
        <w:tblCellMar>
          <w:top w:w="0" w:type="dxa"/>
          <w:left w:w="0" w:type="dxa"/>
          <w:bottom w:w="0" w:type="dxa"/>
          <w:right w:w="0" w:type="dxa"/>
        </w:tblCellMar>
      </w:tblPr>
      <w:tblGrid>
        <w:gridCol w:w="1460"/>
        <w:gridCol w:w="60"/>
        <w:gridCol w:w="246"/>
        <w:gridCol w:w="957"/>
        <w:gridCol w:w="118"/>
        <w:gridCol w:w="118"/>
        <w:gridCol w:w="246"/>
        <w:gridCol w:w="957"/>
        <w:gridCol w:w="75"/>
      </w:tblGrid>
      <w:tr>
        <w:trPr/>
        <w:tc>
          <w:tcPr>
            <w:tcW w:w="14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2"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 March 31,</w:t>
            </w:r>
          </w:p>
        </w:tc>
        <w:tc>
          <w:tcPr>
            <w:tcW w:w="75"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3"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18" w:type="dxa"/>
            <w:tcBorders/>
            <w:vAlign w:val="center"/>
          </w:tcPr>
          <w:p>
            <w:pPr>
              <w:pStyle w:val="TableContents"/>
              <w:bidi w:val="0"/>
              <w:spacing w:before="0" w:after="283"/>
              <w:jc w:val="center"/>
              <w:rPr/>
            </w:pPr>
            <w:r>
              <w:rPr/>
              <w:t> </w:t>
            </w:r>
          </w:p>
        </w:tc>
        <w:tc>
          <w:tcPr>
            <w:tcW w:w="118" w:type="dxa"/>
            <w:tcBorders/>
            <w:vAlign w:val="center"/>
          </w:tcPr>
          <w:p>
            <w:pPr>
              <w:pStyle w:val="TableContents"/>
              <w:bidi w:val="0"/>
              <w:spacing w:before="0" w:after="283"/>
              <w:jc w:val="center"/>
              <w:rPr/>
            </w:pPr>
            <w:r>
              <w:rPr/>
              <w:t> </w:t>
            </w:r>
          </w:p>
        </w:tc>
        <w:tc>
          <w:tcPr>
            <w:tcW w:w="1203"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75"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Long-lived assets</w:t>
            </w:r>
          </w:p>
        </w:tc>
        <w:tc>
          <w:tcPr>
            <w:tcW w:w="60"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460" w:type="dxa"/>
            <w:tcBorders/>
            <w:shd w:fill="CCEEFF" w:val="clear"/>
            <w:vAlign w:val="bottom"/>
          </w:tcPr>
          <w:p>
            <w:pPr>
              <w:pStyle w:val="TableContents"/>
              <w:bidi w:val="0"/>
              <w:spacing w:before="0" w:after="0"/>
              <w:jc w:val="both"/>
              <w:rPr>
                <w:rFonts w:ascii="Times New Roman" w:hAnsi="Times New Roman"/>
                <w:sz w:val="20"/>
              </w:rPr>
            </w:pPr>
            <w:r>
              <w:rPr>
                <w:rFonts w:ascii="Times New Roman" w:hAnsi="Times New Roman"/>
                <w:sz w:val="20"/>
              </w:rPr>
              <w:t>- United States</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1,167</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1,637</w:t>
            </w:r>
          </w:p>
        </w:tc>
        <w:tc>
          <w:tcPr>
            <w:tcW w:w="75" w:type="dxa"/>
            <w:tcBorders/>
            <w:shd w:fill="CCEEFF" w:val="clear"/>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 China</w:t>
            </w:r>
          </w:p>
        </w:tc>
        <w:tc>
          <w:tcPr>
            <w:tcW w:w="60" w:type="dxa"/>
            <w:tcBorders/>
            <w:vAlign w:val="bottom"/>
          </w:tcPr>
          <w:p>
            <w:pPr>
              <w:pStyle w:val="TableContents"/>
              <w:bidi w:val="0"/>
              <w:spacing w:before="0" w:after="283"/>
              <w:jc w:val="left"/>
              <w:rPr/>
            </w:pPr>
            <w:r>
              <w:rPr/>
              <w:t> </w:t>
            </w:r>
          </w:p>
        </w:tc>
        <w:tc>
          <w:tcPr>
            <w:tcW w:w="24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5,623</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4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5,817</w:t>
            </w:r>
          </w:p>
        </w:tc>
        <w:tc>
          <w:tcPr>
            <w:tcW w:w="75" w:type="dxa"/>
            <w:tcBorders/>
            <w:vAlign w:val="bottom"/>
          </w:tcPr>
          <w:p>
            <w:pPr>
              <w:pStyle w:val="TableContents"/>
              <w:bidi w:val="0"/>
              <w:spacing w:before="0" w:after="283"/>
              <w:jc w:val="left"/>
              <w:rPr/>
            </w:pPr>
            <w:r>
              <w:rPr/>
              <w:t> </w:t>
            </w:r>
          </w:p>
        </w:tc>
      </w:tr>
      <w:tr>
        <w:trPr/>
        <w:tc>
          <w:tcPr>
            <w:tcW w:w="1460" w:type="dxa"/>
            <w:tcBorders/>
            <w:shd w:fill="CCEEFF" w:val="clear"/>
            <w:vAlign w:val="bottom"/>
          </w:tcPr>
          <w:p>
            <w:pPr>
              <w:pStyle w:val="TableContents"/>
              <w:bidi w:val="0"/>
              <w:spacing w:before="0" w:after="0"/>
              <w:jc w:val="both"/>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283"/>
              <w:jc w:val="left"/>
              <w:rPr/>
            </w:pPr>
            <w:r>
              <w:rPr/>
              <w:t> </w:t>
            </w:r>
          </w:p>
        </w:tc>
        <w:tc>
          <w:tcPr>
            <w:tcW w:w="24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5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6,790</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4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5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7,454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12. Related Party Transactions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related parties that had balances with the Company as of March 31, 2026 and December 31, 2025 and transactions for the three months ended March 31, 2026 and 2025 are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81" w:name="zf7070939b5d143fbb72b20759dd579c7"/>
      <w:bookmarkStart w:id="182" w:name="zf7070939b5d143fbb72b20759dd579c7"/>
      <w:bookmarkEnd w:id="182"/>
    </w:p>
    <w:tbl>
      <w:tblPr>
        <w:tblW w:w="6210" w:type="dxa"/>
        <w:jc w:val="left"/>
        <w:tblInd w:w="0" w:type="dxa"/>
        <w:tblLayout w:type="fixed"/>
        <w:tblCellMar>
          <w:top w:w="0" w:type="dxa"/>
          <w:left w:w="0" w:type="dxa"/>
          <w:bottom w:w="28" w:type="dxa"/>
          <w:right w:w="0" w:type="dxa"/>
        </w:tblCellMar>
      </w:tblPr>
      <w:tblGrid>
        <w:gridCol w:w="3095"/>
        <w:gridCol w:w="140"/>
        <w:gridCol w:w="2975"/>
      </w:tblGrid>
      <w:tr>
        <w:trPr/>
        <w:tc>
          <w:tcPr>
            <w:tcW w:w="3095"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Name of Related Party</w:t>
            </w:r>
          </w:p>
        </w:tc>
        <w:tc>
          <w:tcPr>
            <w:tcW w:w="140" w:type="dxa"/>
            <w:tcBorders/>
            <w:tcMar>
              <w:bottom w:w="0" w:type="dxa"/>
            </w:tcMar>
            <w:vAlign w:val="center"/>
          </w:tcPr>
          <w:p>
            <w:pPr>
              <w:pStyle w:val="TableContents"/>
              <w:bidi w:val="0"/>
              <w:spacing w:before="0" w:after="0"/>
              <w:jc w:val="left"/>
              <w:rPr/>
            </w:pPr>
            <w:r>
              <w:rPr/>
              <w:t> </w:t>
            </w:r>
          </w:p>
        </w:tc>
        <w:tc>
          <w:tcPr>
            <w:tcW w:w="2975"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Relationship with the Company</w:t>
            </w:r>
          </w:p>
        </w:tc>
      </w:tr>
      <w:tr>
        <w:trPr/>
        <w:tc>
          <w:tcPr>
            <w:tcW w:w="30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Shanghai Genomics Technology, Ltd.</w:t>
            </w:r>
          </w:p>
        </w:tc>
        <w:tc>
          <w:tcPr>
            <w:tcW w:w="140" w:type="dxa"/>
            <w:tcBorders/>
            <w:tcMar>
              <w:bottom w:w="0" w:type="dxa"/>
            </w:tcMar>
            <w:vAlign w:val="center"/>
          </w:tcPr>
          <w:p>
            <w:pPr>
              <w:pStyle w:val="TableContents"/>
              <w:bidi w:val="0"/>
              <w:spacing w:before="0" w:after="0"/>
              <w:jc w:val="left"/>
              <w:rPr/>
            </w:pPr>
            <w:r>
              <w:rPr/>
              <w:t> </w:t>
            </w:r>
          </w:p>
        </w:tc>
        <w:tc>
          <w:tcPr>
            <w:tcW w:w="297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Entity controlled by GNI Group Ltd.</w:t>
            </w:r>
          </w:p>
        </w:tc>
      </w:tr>
      <w:tr>
        <w:trPr/>
        <w:tc>
          <w:tcPr>
            <w:tcW w:w="30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Shanghai Genomics, Inc.</w:t>
            </w:r>
          </w:p>
        </w:tc>
        <w:tc>
          <w:tcPr>
            <w:tcW w:w="140" w:type="dxa"/>
            <w:tcBorders/>
            <w:tcMar>
              <w:bottom w:w="0" w:type="dxa"/>
            </w:tcMar>
            <w:vAlign w:val="center"/>
          </w:tcPr>
          <w:p>
            <w:pPr>
              <w:pStyle w:val="TableContents"/>
              <w:bidi w:val="0"/>
              <w:spacing w:before="0" w:after="0"/>
              <w:jc w:val="left"/>
              <w:rPr/>
            </w:pPr>
            <w:r>
              <w:rPr/>
              <w:t> </w:t>
            </w:r>
          </w:p>
        </w:tc>
        <w:tc>
          <w:tcPr>
            <w:tcW w:w="297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Entity controlled by GNI Group Ltd.</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(a) Related party transactions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Research and development expenses for the related services received from related parties were as follows (in thousands):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83" w:name="z2dacca4b5c1148d0a9ff7965bdf90d76"/>
      <w:bookmarkStart w:id="184" w:name="z2dacca4b5c1148d0a9ff7965bdf90d76"/>
      <w:bookmarkEnd w:id="184"/>
    </w:p>
    <w:tbl>
      <w:tblPr>
        <w:tblW w:w="5887" w:type="dxa"/>
        <w:jc w:val="left"/>
        <w:tblInd w:w="0" w:type="dxa"/>
        <w:tblLayout w:type="fixed"/>
        <w:tblCellMar>
          <w:top w:w="0" w:type="dxa"/>
          <w:left w:w="0" w:type="dxa"/>
          <w:bottom w:w="0" w:type="dxa"/>
          <w:right w:w="0" w:type="dxa"/>
        </w:tblCellMar>
      </w:tblPr>
      <w:tblGrid>
        <w:gridCol w:w="3110"/>
        <w:gridCol w:w="60"/>
        <w:gridCol w:w="398"/>
        <w:gridCol w:w="732"/>
        <w:gridCol w:w="191"/>
        <w:gridCol w:w="191"/>
        <w:gridCol w:w="398"/>
        <w:gridCol w:w="732"/>
        <w:gridCol w:w="75"/>
      </w:tblGrid>
      <w:tr>
        <w:trPr/>
        <w:tc>
          <w:tcPr>
            <w:tcW w:w="3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2"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March 31,</w:t>
            </w:r>
          </w:p>
        </w:tc>
        <w:tc>
          <w:tcPr>
            <w:tcW w:w="75" w:type="dxa"/>
            <w:tcBorders/>
            <w:vAlign w:val="bottom"/>
          </w:tcPr>
          <w:p>
            <w:pPr>
              <w:pStyle w:val="TableContents"/>
              <w:bidi w:val="0"/>
              <w:spacing w:before="0" w:after="283"/>
              <w:jc w:val="left"/>
              <w:rPr/>
            </w:pPr>
            <w:r>
              <w:rPr/>
              <w:t> </w:t>
            </w:r>
          </w:p>
        </w:tc>
      </w:tr>
      <w:tr>
        <w:trPr/>
        <w:tc>
          <w:tcPr>
            <w:tcW w:w="3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191"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75" w:type="dxa"/>
            <w:tcBorders/>
            <w:vAlign w:val="bottom"/>
          </w:tcPr>
          <w:p>
            <w:pPr>
              <w:pStyle w:val="TableContents"/>
              <w:bidi w:val="0"/>
              <w:spacing w:before="0" w:after="283"/>
              <w:jc w:val="left"/>
              <w:rPr/>
            </w:pPr>
            <w:r>
              <w:rPr/>
              <w:t> </w:t>
            </w:r>
          </w:p>
        </w:tc>
      </w:tr>
      <w:tr>
        <w:trPr/>
        <w:tc>
          <w:tcPr>
            <w:tcW w:w="3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Shanghai Genomics Technology, Ltd.</w:t>
            </w:r>
          </w:p>
        </w:tc>
        <w:tc>
          <w:tcPr>
            <w:tcW w:w="60" w:type="dxa"/>
            <w:tcBorders/>
            <w:shd w:fill="CCEEFF" w:val="clear"/>
            <w:vAlign w:val="bottom"/>
          </w:tcPr>
          <w:p>
            <w:pPr>
              <w:pStyle w:val="TableContents"/>
              <w:bidi w:val="0"/>
              <w:spacing w:before="0" w:after="283"/>
              <w:jc w:val="left"/>
              <w:rPr/>
            </w:pPr>
            <w:r>
              <w:rPr/>
              <w:t> </w:t>
            </w:r>
          </w:p>
        </w:tc>
        <w:tc>
          <w:tcPr>
            <w:tcW w:w="39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w:t>
            </w:r>
          </w:p>
        </w:tc>
        <w:tc>
          <w:tcPr>
            <w:tcW w:w="19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39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Operating lease ROU assets and operating lease liabilities recognized for leases of offices from Shanghai Genomics, Inc. as of March 31, 2026 and December 31, 2025 were as follows (in thousands):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85" w:name="ze9886947b2644d2a9be8fc6375715a0e"/>
      <w:bookmarkStart w:id="186" w:name="ze9886947b2644d2a9be8fc6375715a0e"/>
      <w:bookmarkEnd w:id="186"/>
    </w:p>
    <w:tbl>
      <w:tblPr>
        <w:tblW w:w="5483" w:type="dxa"/>
        <w:jc w:val="left"/>
        <w:tblInd w:w="0" w:type="dxa"/>
        <w:tblLayout w:type="fixed"/>
        <w:tblCellMar>
          <w:top w:w="0" w:type="dxa"/>
          <w:left w:w="0" w:type="dxa"/>
          <w:bottom w:w="0" w:type="dxa"/>
          <w:right w:w="0" w:type="dxa"/>
        </w:tblCellMar>
      </w:tblPr>
      <w:tblGrid>
        <w:gridCol w:w="3140"/>
        <w:gridCol w:w="60"/>
        <w:gridCol w:w="166"/>
        <w:gridCol w:w="723"/>
        <w:gridCol w:w="80"/>
        <w:gridCol w:w="60"/>
        <w:gridCol w:w="218"/>
        <w:gridCol w:w="956"/>
        <w:gridCol w:w="80"/>
      </w:tblGrid>
      <w:tr>
        <w:trPr/>
        <w:tc>
          <w:tcPr>
            <w:tcW w:w="3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tc>
        <w:tc>
          <w:tcPr>
            <w:tcW w:w="80" w:type="dxa"/>
            <w:tcBorders/>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r>
          </w:p>
        </w:tc>
        <w:tc>
          <w:tcPr>
            <w:tcW w:w="60" w:type="dxa"/>
            <w:tcBorders/>
            <w:vAlign w:val="bottom"/>
          </w:tcPr>
          <w:p>
            <w:pPr>
              <w:pStyle w:val="TableContents"/>
              <w:bidi w:val="0"/>
              <w:spacing w:before="0" w:after="283"/>
              <w:jc w:val="left"/>
              <w:rPr/>
            </w:pPr>
            <w:r>
              <w:rPr/>
              <w:t> </w:t>
            </w:r>
          </w:p>
        </w:tc>
        <w:tc>
          <w:tcPr>
            <w:tcW w:w="889"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3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1,296</w:t>
            </w:r>
          </w:p>
        </w:tc>
        <w:tc>
          <w:tcPr>
            <w:tcW w:w="80" w:type="dxa"/>
            <w:tcBorders/>
            <w:shd w:fill="CCEEFF" w:val="clear"/>
            <w:vAlign w:val="bottom"/>
          </w:tcPr>
          <w:p>
            <w:pPr>
              <w:pStyle w:val="TableContents"/>
              <w:bidi w:val="0"/>
              <w:spacing w:before="0" w:after="283"/>
              <w:jc w:val="left"/>
              <w:rPr/>
            </w:pPr>
            <w:r>
              <w:rPr/>
              <w:t> </w:t>
            </w:r>
          </w:p>
        </w:tc>
      </w:tr>
      <w:tr>
        <w:trPr/>
        <w:tc>
          <w:tcPr>
            <w:tcW w:w="31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lease liabilities, current</w:t>
            </w:r>
          </w:p>
        </w:tc>
        <w:tc>
          <w:tcPr>
            <w:tcW w:w="60" w:type="dxa"/>
            <w:tcBorders/>
            <w:vAlign w:val="bottom"/>
          </w:tcPr>
          <w:p>
            <w:pPr>
              <w:pStyle w:val="TableContents"/>
              <w:bidi w:val="0"/>
              <w:spacing w:before="0" w:after="283"/>
              <w:jc w:val="left"/>
              <w:rPr/>
            </w:pPr>
            <w:r>
              <w:rPr/>
              <w:t> </w:t>
            </w:r>
          </w:p>
        </w:tc>
        <w:tc>
          <w:tcPr>
            <w:tcW w:w="166" w:type="dxa"/>
            <w:tcBorders>
              <w:bottom w:val="single" w:sz="12" w:space="0" w:color="000000"/>
            </w:tcBorders>
            <w:tcMar>
              <w:bottom w:w="28" w:type="dxa"/>
            </w:tcMar>
            <w:vAlign w:val="bottom"/>
          </w:tcPr>
          <w:p>
            <w:pPr>
              <w:pStyle w:val="TableContents"/>
              <w:bidi w:val="0"/>
              <w:spacing w:before="0" w:after="283"/>
              <w:jc w:val="left"/>
              <w:rPr/>
            </w:pPr>
            <w:r>
              <w:rPr/>
              <w:t> </w:t>
            </w:r>
          </w:p>
        </w:tc>
        <w:tc>
          <w:tcPr>
            <w:tcW w:w="7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218" w:type="dxa"/>
            <w:tcBorders>
              <w:bottom w:val="single" w:sz="12" w:space="0" w:color="000000"/>
            </w:tcBorders>
            <w:tcMar>
              <w:bottom w:w="28" w:type="dxa"/>
            </w:tcMar>
            <w:vAlign w:val="bottom"/>
          </w:tcPr>
          <w:p>
            <w:pPr>
              <w:pStyle w:val="TableContents"/>
              <w:bidi w:val="0"/>
              <w:spacing w:before="0" w:after="283"/>
              <w:jc w:val="left"/>
              <w:rPr/>
            </w:pPr>
            <w:r>
              <w:rPr/>
              <w:t> </w:t>
            </w:r>
          </w:p>
        </w:tc>
        <w:tc>
          <w:tcPr>
            <w:tcW w:w="9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lease liabilities, non-current</w:t>
            </w:r>
          </w:p>
        </w:tc>
        <w:tc>
          <w:tcPr>
            <w:tcW w:w="60" w:type="dxa"/>
            <w:tcBorders/>
            <w:shd w:fill="CCEEFF" w:val="clear"/>
            <w:vAlign w:val="bottom"/>
          </w:tcPr>
          <w:p>
            <w:pPr>
              <w:pStyle w:val="TableContents"/>
              <w:bidi w:val="0"/>
              <w:spacing w:before="0" w:after="283"/>
              <w:jc w:val="left"/>
              <w:rPr/>
            </w:pPr>
            <w:r>
              <w:rPr/>
              <w:t> </w:t>
            </w:r>
          </w:p>
        </w:tc>
        <w:tc>
          <w:tcPr>
            <w:tcW w:w="16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2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1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related lease expense recognized from related parties included in “Research and development expenses” and “General and administrative expenses” in the interim condensed consolidated statements of comprehensive loss were as follows (in thousands):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87" w:name="z4074dbb8e37f460b9118c7d0da8bcc65"/>
      <w:bookmarkStart w:id="188" w:name="z4074dbb8e37f460b9118c7d0da8bcc65"/>
      <w:bookmarkEnd w:id="188"/>
    </w:p>
    <w:tbl>
      <w:tblPr>
        <w:tblW w:w="5782" w:type="dxa"/>
        <w:jc w:val="left"/>
        <w:tblInd w:w="0" w:type="dxa"/>
        <w:tblLayout w:type="fixed"/>
        <w:tblCellMar>
          <w:top w:w="0" w:type="dxa"/>
          <w:left w:w="0" w:type="dxa"/>
          <w:bottom w:w="0" w:type="dxa"/>
          <w:right w:w="0" w:type="dxa"/>
        </w:tblCellMar>
      </w:tblPr>
      <w:tblGrid>
        <w:gridCol w:w="3005"/>
        <w:gridCol w:w="60"/>
        <w:gridCol w:w="398"/>
        <w:gridCol w:w="732"/>
        <w:gridCol w:w="191"/>
        <w:gridCol w:w="191"/>
        <w:gridCol w:w="398"/>
        <w:gridCol w:w="732"/>
        <w:gridCol w:w="75"/>
      </w:tblGrid>
      <w:tr>
        <w:trPr/>
        <w:tc>
          <w:tcPr>
            <w:tcW w:w="30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2"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 March 31,</w:t>
            </w:r>
          </w:p>
        </w:tc>
        <w:tc>
          <w:tcPr>
            <w:tcW w:w="75" w:type="dxa"/>
            <w:tcBorders/>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91"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75" w:type="dxa"/>
            <w:tcBorders/>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jc w:val="both"/>
              <w:rPr>
                <w:rFonts w:ascii="Times New Roman" w:hAnsi="Times New Roman"/>
                <w:sz w:val="20"/>
              </w:rPr>
            </w:pPr>
            <w:r>
              <w:rPr>
                <w:rFonts w:ascii="Times New Roman" w:hAnsi="Times New Roman"/>
                <w:sz w:val="20"/>
              </w:rPr>
              <w:t>Research and development expenses</w:t>
            </w:r>
          </w:p>
        </w:tc>
        <w:tc>
          <w:tcPr>
            <w:tcW w:w="60"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19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75" w:type="dxa"/>
            <w:tcBorders/>
            <w:shd w:fill="CCEEFF" w:val="clear"/>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General and administrative expenses</w:t>
            </w:r>
          </w:p>
        </w:tc>
        <w:tc>
          <w:tcPr>
            <w:tcW w:w="6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w:t>
            </w:r>
          </w:p>
        </w:tc>
        <w:tc>
          <w:tcPr>
            <w:tcW w:w="19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73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56</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did not have any litigation, capital or other significant commitments, long-term obligations, or guarantees as of March 31, 2026 and December 31, 2025 other than disclosed in these interim condensed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Although the Company is not currently subject to any litigation, and no litigation is currently threatened against it, the Company may be subject to legal proceedings, claims, and litigations arising in the ordinary course of business. Such matters are subject to many uncertainties and outcomes and are not predictable with assurance. The Company accrues amounts that it believes are adequate to address any liabilities related to legal proceedings and other loss contingencies that the Company believes will result in a probable loss that is reasonably estimable.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14. Subsequent Events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has evaluated subsequent events through July 15, 2026, the date on which the accompanying interim condensed consolidated financial statements are available to be issued.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May 4, 2026, in accordance with the terms of the Merger Agreement, by and among Gyre, Merger Sub and the Company, Gyre acquired Cullgen. Pursuant to the Merger Agreement, Merger Sub merged with and into Cullgen, with Cullgen continuing as a wholly owned subsidiary of Gyre and the surviving corporation of the Merger. The Merger is intended to qualify for federal income tax purposes as a tax-free reorganization under the provisions of Section 368(a) of the Internal Revenue Code of 1986, as amended. The management evaluated the transaction and concluded that the merger did not impact the Company's income tax provision for the three months ended March 31, 2026. The Company will continue to evaluate the tax effects of the transaction in subsequent reporting periods.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Under the terms of the Merger Agreement, Gyre acquired Cullgen in an all-stock transaction that valued Cullgen at approximately $300 million. At the effective time of the Merger (the “Effective Time”), each then outstanding share of Cullgen capital stock (the “Cullgen Capital Stock”), excluding shares of Cullgen Capital Stock held as treasury stock immediately prior to the Effective Time and any dissenting shares, converted into (1) with respect to shares of Cullgen Capital Stock held by certain designated holders, (i) for each share of Cullgen common stock (“Cullgen Common Stock”) held by such holders, a number of shares of Gyre’s Series B Convertible Preferred Stock, par value $0.001 per share (the “Series B Preferred Stock”), equal to (x) 0.4753 (the “Exchange Ratio”) divided by five, and (ii) for each share of Cullgen preferred stock (“Cullgen Preferred Stock”) held by such designated holders, a number of shares of Series B Preferred Stock equal to (x) the number of shares of Cullgen Common Stock issuable upon conversion of each share of Cullgen Preferred Stock, multiplied by the Exchange Ratio, and divided by five, and (2) with respect to shares of Cullgen Capital Stock held by each other holder, (i) for each share of Cullgen Common Stock held by such holders, a number of shares of common stock equal to the Exchange Ratio, and (ii) for each share of Cullgen Preferred Stock held by such holders, a number of shares of common stock equal to the number of shares of Cullgen Common Stock issuable upon conversion of each share of Cullgen Preferred Stock, multiplied by the Exchange Ratio. Each share of Series B Preferred Stock received in the Merger is convertible into five shares of common stock, subject to certain conditions described below with respect to the Conversion Proposal (as defined below). Notwithstanding anything herein to the contrary, in no event will Gyre issue greater than 19.99% of its issued and outstanding common stock or its voting power prior to the approval of the Conversion Proposal.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180" w:after="180"/>
        <w:jc w:val="left"/>
        <w:rPr/>
      </w:pPr>
      <w:r>
        <w:rPr/>
      </w:r>
    </w:p>
    <w:p>
      <w:pPr>
        <w:pStyle w:val="TextBody"/>
        <w:bidi w:val="0"/>
        <w:spacing w:before="180" w:after="180"/>
        <w:jc w:val="left"/>
        <w:rPr/>
      </w:pPr>
      <w:hyperlink w:anchor="INDEX">
        <w:r>
          <w:rPr>
            <w:rStyle w:val="InternetLink"/>
            <w:rFonts w:ascii="Times New Roman" w:hAnsi="Times New Roman"/>
            <w:i/>
            <w:color w:val="000000"/>
            <w:sz w:val="16"/>
          </w:rPr>
          <w:t>Index</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In addition, at the Effective Time (1) each then-outstanding in-the-money option to purchase shares of Cullgen Common Stock that was outstanding and unexercised immediately prior to the Effective Time, whether vested or unvested, ceased to represent a right to acquire shares of Cullgen Common Stock and converted into and became an option to purchase shares of common stock on the existing terms and conditions (including with respect to vesting and accelerated vesting), subject to adjustment as set forth in the Merger Agreement, (2) each then-outstanding option to purchase shares of Cullgen Common Stock that was not an in-the-money option and was outstanding and unexercised immediately prior to the Effective Time was cancelled at the Effective Time for no consideration, and (3) each Cullgen restricted stock unit will vest and be settled for Cullgen Common Stock and the holder thereof received a number of shares of common stock calculated in accordance with the Merger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89" w:name="ef20077460_ex99-2.htm"/>
      <w:bookmarkStart w:id="190" w:name="ksef20077460_ex992"/>
      <w:bookmarkStart w:id="191" w:name="ef20077460_ex99-2.htm"/>
      <w:bookmarkStart w:id="192" w:name="ksef20077460_ex992"/>
      <w:bookmarkEnd w:id="191"/>
      <w:bookmarkEnd w:id="192"/>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99.2</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(b) Pro Forma Financial Information.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May 4, 2026 (the "Merger Closing Date"), Gyre Therapeutics, Inc. (the "Company") acquired Cullgen, Inc. ("Cullgen") pursuant to the Agreement and Plan of Merger and Reorganization dated March 2, 2026, by and among the Company (the “Merger Agreement”), Cullgen and Helix Merger Sub Corp., a Delaware corporation and wholly owned subsidiary of the Company (“Merger Sub”). Merger Sub merged with and into Cullgen, with Cullgen continuing as a wholly owned subsidiary of the Company and the surviving corporation of the merger (the "Merger"). The Company acquired Cullgen in an all-stock transaction that valued Cullgen at approximately $300 million, and all outstanding shares of Cullgen capital stock were exchanged for shares of the Company's common stock or Series B Convertible Preferred Stock in accordance with the exchange terms set forth in the Merger Agreement. The Company evaluated the Merger under ASC 805-50 and determined that the Merger is a combination of entities under common control because the Company and Cullgen were controlled by the same parent, GNI Japan, both before and after the Merger, and such control was not transitory. Accordingly, the assets and liabilities transferred are recognized at their historical carrying amounts on the Merger Closing Date, no new basis of accounting or goodwill is recognized, and the Company's financial statements are retrospectively adjusted to reflect the combination as if it had consummated at the beginning of the earliest period presented, consistent with ASC 805-50 and applicable SEC rules and regulations.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unaudited pro forma condensed combined financial statements are based on the Company's historical financial statements and Cullgen's historical consolidated financial statements as adjusted to give effect to the Company's acquisition of Cullgen. The unaudited pro forma condensed combined statements of operations for the three months ended March 31, 2026, and the year ended December 31, 2025, give effect to the Merger as if it had consummated on January 1, 2024. The unaudited pro forma condensed combined statement of operations for the year ended December 31, 2024, reflects the retrospective combination of entities under common control and excludes the ownership-attribution effects of the Company's acquisition/exchange of Cullgen interests held by parties other than GNI Japan, as described in Note 1. The unaudited pro forma condensed combined balance sheet as of March 31, 2026, gives effect to the transaction as if it had been consummated at the end of the three-month period ended March 31, 2026. The unaudited pro forma condensed combined financial information has been prepared for illustrative purposes only and is not necessarily indicative of the financial position or results of operations that would have been realized had the transaction been completed on the dates assumed, nor is it necessarily indicative of the future financial position or results of operations of the combined company. The unaudited pro forma condensed combined financial information does not include Management's Adjustments, as defined in Article 11 of Regulation S-X, including potential cost savings or other operational efficiencies that could result from the acquisition. Management has not identified material intercompany revenues, expenses, management services arrangements or other transactions between the Company and Cullgen requiring elimination or other Transaction Accounting Adjustments. The assumptions and estimates underlying the Transaction Accounting Adjustments reflected in the unaudited pro forma condensed combined financial statements are described in the accompanying notes, which should be read together with the pro forma condensed combined financial statements. The unaudited pro forma condensed combined financial statements should be read together with the Company's historical financial statements, which are included in the Company's latest annual report on Form 10-K and quarterly report on Form 10-Q, and Cullgen's historical information included herein.</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 Pro Forma Condensed Combined Balance Sheet</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As of March 31, 2026</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(U.S. dollars in thousands)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3" w:name="z10d05e8af378472a840355578cd8d25c"/>
      <w:bookmarkStart w:id="194" w:name="z10d05e8af378472a840355578cd8d25c"/>
      <w:bookmarkEnd w:id="194"/>
    </w:p>
    <w:tbl>
      <w:tblPr>
        <w:tblW w:w="25240" w:type="dxa"/>
        <w:jc w:val="left"/>
        <w:tblInd w:w="0" w:type="dxa"/>
        <w:tblLayout w:type="fixed"/>
        <w:tblCellMar>
          <w:top w:w="0" w:type="dxa"/>
          <w:left w:w="0" w:type="dxa"/>
          <w:bottom w:w="28" w:type="dxa"/>
          <w:right w:w="0" w:type="dxa"/>
        </w:tblCellMar>
      </w:tblPr>
      <w:tblGrid>
        <w:gridCol w:w="6890"/>
        <w:gridCol w:w="60"/>
        <w:gridCol w:w="169"/>
        <w:gridCol w:w="2266"/>
        <w:gridCol w:w="95"/>
        <w:gridCol w:w="60"/>
        <w:gridCol w:w="85"/>
        <w:gridCol w:w="1240"/>
        <w:gridCol w:w="95"/>
        <w:gridCol w:w="60"/>
        <w:gridCol w:w="138"/>
        <w:gridCol w:w="2027"/>
        <w:gridCol w:w="95"/>
        <w:gridCol w:w="60"/>
        <w:gridCol w:w="182"/>
        <w:gridCol w:w="2298"/>
        <w:gridCol w:w="95"/>
        <w:gridCol w:w="60"/>
        <w:gridCol w:w="288"/>
        <w:gridCol w:w="2192"/>
        <w:gridCol w:w="95"/>
        <w:gridCol w:w="60"/>
        <w:gridCol w:w="159"/>
        <w:gridCol w:w="2321"/>
        <w:gridCol w:w="95"/>
        <w:gridCol w:w="60"/>
        <w:gridCol w:w="182"/>
        <w:gridCol w:w="2298"/>
        <w:gridCol w:w="155"/>
        <w:gridCol w:w="60"/>
        <w:gridCol w:w="77"/>
        <w:gridCol w:w="1128"/>
        <w:gridCol w:w="95"/>
      </w:tblGrid>
      <w:tr>
        <w:trPr/>
        <w:tc>
          <w:tcPr>
            <w:tcW w:w="689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435" w:type="dxa"/>
            <w:gridSpan w:val="2"/>
            <w:tcBorders>
              <w:bottom w:val="single" w:sz="12" w:space="0" w:color="000000"/>
            </w:tcBorders>
            <w:vAlign w:val="bottom"/>
          </w:tcPr>
          <w:p>
            <w:pPr>
              <w:pStyle w:val="TableContents"/>
              <w:bidi w:val="0"/>
              <w:spacing w:before="0" w:after="0"/>
              <w:jc w:val="center"/>
              <w:rPr>
                <w:b/>
              </w:rPr>
            </w:pPr>
            <w:r>
              <w:rPr>
                <w:b/>
              </w:rPr>
              <w:t>Gyre Therapeutics, Inc.</w:t>
            </w:r>
          </w:p>
          <w:p>
            <w:pPr>
              <w:pStyle w:val="TableContents"/>
              <w:bidi w:val="0"/>
              <w:spacing w:before="0" w:after="0"/>
              <w:jc w:val="center"/>
              <w:rPr>
                <w:b/>
              </w:rPr>
            </w:pPr>
            <w:r>
              <w:rPr>
                <w:b/>
              </w:rPr>
              <w:t>(Historical)</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325" w:type="dxa"/>
            <w:gridSpan w:val="2"/>
            <w:tcBorders>
              <w:bottom w:val="single" w:sz="12" w:space="0" w:color="000000"/>
            </w:tcBorders>
            <w:vAlign w:val="bottom"/>
          </w:tcPr>
          <w:p>
            <w:pPr>
              <w:pStyle w:val="TableContents"/>
              <w:bidi w:val="0"/>
              <w:spacing w:before="0" w:after="0"/>
              <w:jc w:val="center"/>
              <w:rPr>
                <w:b/>
              </w:rPr>
            </w:pPr>
            <w:r>
              <w:rPr>
                <w:b/>
              </w:rPr>
              <w:t>Cullgen, Inc.</w:t>
            </w:r>
          </w:p>
          <w:p>
            <w:pPr>
              <w:pStyle w:val="TableContents"/>
              <w:bidi w:val="0"/>
              <w:spacing w:before="0" w:after="0"/>
              <w:jc w:val="center"/>
              <w:rPr>
                <w:b/>
              </w:rPr>
            </w:pPr>
            <w:r>
              <w:rPr>
                <w:b/>
              </w:rPr>
              <w:t>(Historical)</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165" w:type="dxa"/>
            <w:gridSpan w:val="2"/>
            <w:tcBorders>
              <w:bottom w:val="single" w:sz="12" w:space="0" w:color="000000"/>
            </w:tcBorders>
            <w:vAlign w:val="bottom"/>
          </w:tcPr>
          <w:p>
            <w:pPr>
              <w:pStyle w:val="TableContents"/>
              <w:bidi w:val="0"/>
              <w:spacing w:before="0" w:after="0"/>
              <w:jc w:val="center"/>
              <w:rPr>
                <w:b/>
              </w:rPr>
            </w:pPr>
            <w:r>
              <w:rPr>
                <w:b/>
              </w:rPr>
              <w:t>Historical Combined</w:t>
            </w:r>
          </w:p>
          <w:p>
            <w:pPr>
              <w:pStyle w:val="TableContents"/>
              <w:bidi w:val="0"/>
              <w:spacing w:before="0" w:after="0"/>
              <w:jc w:val="center"/>
              <w:rPr>
                <w:b/>
              </w:rPr>
            </w:pPr>
            <w:r>
              <w:rPr>
                <w:b/>
              </w:rPr>
              <w:t>Prior to Adjustments</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480" w:type="dxa"/>
            <w:gridSpan w:val="2"/>
            <w:tcBorders>
              <w:bottom w:val="single" w:sz="12" w:space="0" w:color="000000"/>
            </w:tcBorders>
            <w:vAlign w:val="bottom"/>
          </w:tcPr>
          <w:p>
            <w:pPr>
              <w:pStyle w:val="TableContents"/>
              <w:bidi w:val="0"/>
              <w:spacing w:before="0" w:after="0"/>
              <w:jc w:val="center"/>
              <w:rPr>
                <w:b/>
              </w:rPr>
            </w:pPr>
            <w:r>
              <w:rPr>
                <w:b/>
              </w:rPr>
              <w:t>Transaction Accounting</w:t>
            </w:r>
          </w:p>
          <w:p>
            <w:pPr>
              <w:pStyle w:val="TableContents"/>
              <w:bidi w:val="0"/>
              <w:spacing w:before="0" w:after="0"/>
              <w:jc w:val="center"/>
              <w:rPr>
                <w:b/>
              </w:rPr>
            </w:pPr>
            <w:r>
              <w:rPr>
                <w:b/>
              </w:rPr>
              <w:t>Adjustments [A]</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480" w:type="dxa"/>
            <w:gridSpan w:val="2"/>
            <w:tcBorders>
              <w:bottom w:val="single" w:sz="12" w:space="0" w:color="000000"/>
            </w:tcBorders>
            <w:vAlign w:val="bottom"/>
          </w:tcPr>
          <w:p>
            <w:pPr>
              <w:pStyle w:val="TableContents"/>
              <w:bidi w:val="0"/>
              <w:spacing w:before="0" w:after="0"/>
              <w:jc w:val="center"/>
              <w:rPr>
                <w:b/>
              </w:rPr>
            </w:pPr>
            <w:r>
              <w:rPr>
                <w:b/>
              </w:rPr>
              <w:t>Transaction Accounting</w:t>
            </w:r>
          </w:p>
          <w:p>
            <w:pPr>
              <w:pStyle w:val="TableContents"/>
              <w:bidi w:val="0"/>
              <w:spacing w:before="0" w:after="0"/>
              <w:jc w:val="center"/>
              <w:rPr>
                <w:b/>
              </w:rPr>
            </w:pPr>
            <w:r>
              <w:rPr>
                <w:b/>
              </w:rPr>
              <w:t>Adjustments [B]</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480" w:type="dxa"/>
            <w:gridSpan w:val="2"/>
            <w:tcBorders>
              <w:bottom w:val="single" w:sz="12" w:space="0" w:color="000000"/>
            </w:tcBorders>
            <w:vAlign w:val="bottom"/>
          </w:tcPr>
          <w:p>
            <w:pPr>
              <w:pStyle w:val="TableContents"/>
              <w:bidi w:val="0"/>
              <w:spacing w:before="0" w:after="0"/>
              <w:jc w:val="center"/>
              <w:rPr>
                <w:b/>
              </w:rPr>
            </w:pPr>
            <w:r>
              <w:rPr>
                <w:b/>
              </w:rPr>
              <w:t>Transaction Accounting</w:t>
            </w:r>
          </w:p>
          <w:p>
            <w:pPr>
              <w:pStyle w:val="TableContents"/>
              <w:bidi w:val="0"/>
              <w:spacing w:before="0" w:after="0"/>
              <w:jc w:val="center"/>
              <w:rPr>
                <w:b/>
              </w:rPr>
            </w:pPr>
            <w:r>
              <w:rPr>
                <w:b/>
              </w:rPr>
              <w:t>Adjustments [C]</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480" w:type="dxa"/>
            <w:gridSpan w:val="2"/>
            <w:tcBorders>
              <w:bottom w:val="single" w:sz="12" w:space="0" w:color="000000"/>
            </w:tcBorders>
            <w:vAlign w:val="bottom"/>
          </w:tcPr>
          <w:p>
            <w:pPr>
              <w:pStyle w:val="TableContents"/>
              <w:bidi w:val="0"/>
              <w:spacing w:before="0" w:after="0"/>
              <w:jc w:val="center"/>
              <w:rPr>
                <w:b/>
              </w:rPr>
            </w:pPr>
            <w:r>
              <w:rPr>
                <w:b/>
              </w:rPr>
              <w:t>Transaction Accounting</w:t>
            </w:r>
          </w:p>
          <w:p>
            <w:pPr>
              <w:pStyle w:val="TableContents"/>
              <w:bidi w:val="0"/>
              <w:spacing w:before="0" w:after="0"/>
              <w:jc w:val="center"/>
              <w:rPr>
                <w:b/>
              </w:rPr>
            </w:pPr>
            <w:r>
              <w:rPr>
                <w:b/>
              </w:rPr>
              <w:t>Adjustments [D]</w:t>
            </w:r>
          </w:p>
        </w:tc>
        <w:tc>
          <w:tcPr>
            <w:tcW w:w="15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205" w:type="dxa"/>
            <w:gridSpan w:val="2"/>
            <w:tcBorders>
              <w:bottom w:val="single" w:sz="12" w:space="0" w:color="000000"/>
            </w:tcBorders>
            <w:vAlign w:val="bottom"/>
          </w:tcPr>
          <w:p>
            <w:pPr>
              <w:pStyle w:val="TableContents"/>
              <w:bidi w:val="0"/>
              <w:spacing w:before="0" w:after="0"/>
              <w:jc w:val="center"/>
              <w:rPr>
                <w:b/>
              </w:rPr>
            </w:pPr>
            <w:r>
              <w:rPr>
                <w:b/>
              </w:rPr>
              <w:t xml:space="preserve">Pro Forma </w:t>
            </w:r>
          </w:p>
          <w:p>
            <w:pPr>
              <w:pStyle w:val="TableContents"/>
              <w:bidi w:val="0"/>
              <w:spacing w:before="0" w:after="0"/>
              <w:jc w:val="center"/>
              <w:rPr>
                <w:b/>
              </w:rPr>
            </w:pPr>
            <w:r>
              <w:rPr>
                <w:b/>
              </w:rPr>
              <w:t>Combined</w:t>
            </w:r>
          </w:p>
        </w:tc>
        <w:tc>
          <w:tcPr>
            <w:tcW w:w="95" w:type="dxa"/>
            <w:tcBorders/>
            <w:tcMar>
              <w:bottom w:w="0" w:type="dxa"/>
            </w:tcMar>
            <w:vAlign w:val="bottom"/>
          </w:tcPr>
          <w:p>
            <w:pPr>
              <w:pStyle w:val="TableContents"/>
              <w:bidi w:val="0"/>
              <w:spacing w:before="0" w:after="283"/>
              <w:jc w:val="left"/>
              <w:rPr/>
            </w:pPr>
            <w:r>
              <w:rPr/>
              <w:t> </w:t>
            </w:r>
          </w:p>
        </w:tc>
      </w:tr>
      <w:tr>
        <w:trPr/>
        <w:tc>
          <w:tcPr>
            <w:tcW w:w="6890" w:type="dxa"/>
            <w:tcBorders/>
            <w:tcMar>
              <w:bottom w:w="0" w:type="dxa"/>
            </w:tcMar>
            <w:vAlign w:val="bottom"/>
          </w:tcPr>
          <w:p>
            <w:pPr>
              <w:pStyle w:val="TableContents"/>
              <w:bidi w:val="0"/>
              <w:spacing w:before="0" w:after="0"/>
              <w:jc w:val="left"/>
              <w:rPr>
                <w:b/>
              </w:rPr>
            </w:pPr>
            <w:r>
              <w:rPr>
                <w:b/>
              </w:rPr>
              <w:t>ASSETS</w:t>
            </w:r>
          </w:p>
        </w:tc>
        <w:tc>
          <w:tcPr>
            <w:tcW w:w="60" w:type="dxa"/>
            <w:tcBorders/>
            <w:tcMar>
              <w:bottom w:w="0" w:type="dxa"/>
            </w:tcMar>
            <w:vAlign w:val="bottom"/>
          </w:tcPr>
          <w:p>
            <w:pPr>
              <w:pStyle w:val="TableContents"/>
              <w:bidi w:val="0"/>
              <w:spacing w:before="0" w:after="283"/>
              <w:jc w:val="left"/>
              <w:rPr/>
            </w:pPr>
            <w:r>
              <w:rPr/>
              <w:t> </w:t>
            </w:r>
          </w:p>
        </w:tc>
        <w:tc>
          <w:tcPr>
            <w:tcW w:w="2435"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25"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165"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80"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80"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80"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80" w:type="dxa"/>
            <w:gridSpan w:val="2"/>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05"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r>
      <w:tr>
        <w:trPr/>
        <w:tc>
          <w:tcPr>
            <w:tcW w:w="6890" w:type="dxa"/>
            <w:tcBorders/>
            <w:shd w:fill="CCEEFF" w:val="clear"/>
            <w:tcMar>
              <w:bottom w:w="0" w:type="dxa"/>
            </w:tcMar>
            <w:vAlign w:val="bottom"/>
          </w:tcPr>
          <w:p>
            <w:pPr>
              <w:pStyle w:val="TableContents"/>
              <w:bidi w:val="0"/>
              <w:spacing w:before="0" w:after="0"/>
              <w:jc w:val="left"/>
              <w:rPr/>
            </w:pPr>
            <w:r>
              <w:rPr/>
              <w:t>Cash and cash equivalents</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2266" w:type="dxa"/>
            <w:tcBorders/>
            <w:shd w:fill="CCEEFF" w:val="clear"/>
            <w:tcMar>
              <w:bottom w:w="0" w:type="dxa"/>
            </w:tcMar>
            <w:vAlign w:val="bottom"/>
          </w:tcPr>
          <w:p>
            <w:pPr>
              <w:pStyle w:val="TableContents"/>
              <w:bidi w:val="0"/>
              <w:spacing w:before="0" w:after="0"/>
              <w:jc w:val="right"/>
              <w:rPr/>
            </w:pPr>
            <w:r>
              <w:rPr/>
              <w:t>37,501</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5" w:type="dxa"/>
            <w:tcBorders/>
            <w:shd w:fill="CCEEFF" w:val="clear"/>
            <w:tcMar>
              <w:bottom w:w="0" w:type="dxa"/>
            </w:tcMar>
            <w:vAlign w:val="bottom"/>
          </w:tcPr>
          <w:p>
            <w:pPr>
              <w:pStyle w:val="TableContents"/>
              <w:bidi w:val="0"/>
              <w:spacing w:before="0" w:after="283"/>
              <w:jc w:val="left"/>
              <w:rPr/>
            </w:pPr>
            <w:r>
              <w:rPr/>
              <w:t> </w:t>
            </w:r>
          </w:p>
        </w:tc>
        <w:tc>
          <w:tcPr>
            <w:tcW w:w="1240" w:type="dxa"/>
            <w:tcBorders/>
            <w:shd w:fill="CCEEFF" w:val="clear"/>
            <w:tcMar>
              <w:bottom w:w="0" w:type="dxa"/>
            </w:tcMar>
            <w:vAlign w:val="bottom"/>
          </w:tcPr>
          <w:p>
            <w:pPr>
              <w:pStyle w:val="TableContents"/>
              <w:bidi w:val="0"/>
              <w:spacing w:before="0" w:after="0"/>
              <w:jc w:val="right"/>
              <w:rPr/>
            </w:pPr>
            <w:r>
              <w:rPr/>
              <w:t>13,322</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2027" w:type="dxa"/>
            <w:tcBorders/>
            <w:shd w:fill="CCEEFF" w:val="clear"/>
            <w:tcMar>
              <w:bottom w:w="0" w:type="dxa"/>
            </w:tcMar>
            <w:vAlign w:val="bottom"/>
          </w:tcPr>
          <w:p>
            <w:pPr>
              <w:pStyle w:val="TableContents"/>
              <w:bidi w:val="0"/>
              <w:spacing w:before="0" w:after="0"/>
              <w:jc w:val="right"/>
              <w:rPr/>
            </w:pPr>
            <w:r>
              <w:rPr/>
              <w:t>50,823</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80" w:type="dxa"/>
            <w:gridSpan w:val="2"/>
            <w:tcBorders/>
            <w:shd w:fill="CCEEFF" w:val="clear"/>
            <w:tcMar>
              <w:bottom w:w="0" w:type="dxa"/>
            </w:tcMar>
            <w:vAlign w:val="bottom"/>
          </w:tcPr>
          <w:p>
            <w:pPr>
              <w:pStyle w:val="TableContents"/>
              <w:bidi w:val="0"/>
              <w:spacing w:before="0" w:after="283"/>
              <w:jc w:val="lef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80" w:type="dxa"/>
            <w:gridSpan w:val="2"/>
            <w:tcBorders/>
            <w:shd w:fill="CCEEFF" w:val="clear"/>
            <w:tcMar>
              <w:bottom w:w="0" w:type="dxa"/>
            </w:tcMar>
            <w:vAlign w:val="bottom"/>
          </w:tcPr>
          <w:p>
            <w:pPr>
              <w:pStyle w:val="TableContents"/>
              <w:bidi w:val="0"/>
              <w:spacing w:before="0" w:after="283"/>
              <w:jc w:val="lef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80" w:type="dxa"/>
            <w:gridSpan w:val="2"/>
            <w:tcBorders/>
            <w:shd w:fill="CCEEFF" w:val="clear"/>
            <w:tcMar>
              <w:bottom w:w="0" w:type="dxa"/>
            </w:tcMar>
            <w:vAlign w:val="bottom"/>
          </w:tcPr>
          <w:p>
            <w:pPr>
              <w:pStyle w:val="TableContents"/>
              <w:bidi w:val="0"/>
              <w:spacing w:before="0" w:after="283"/>
              <w:jc w:val="lef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80" w:type="dxa"/>
            <w:gridSpan w:val="2"/>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7" w:type="dxa"/>
            <w:tcBorders/>
            <w:shd w:fill="CCEEFF" w:val="clear"/>
            <w:tcMar>
              <w:bottom w:w="0" w:type="dxa"/>
            </w:tcMar>
            <w:vAlign w:val="bottom"/>
          </w:tcPr>
          <w:p>
            <w:pPr>
              <w:pStyle w:val="TableContents"/>
              <w:bidi w:val="0"/>
              <w:spacing w:before="0" w:after="283"/>
              <w:jc w:val="left"/>
              <w:rPr/>
            </w:pPr>
            <w:r>
              <w:rPr/>
              <w:t> </w:t>
            </w:r>
          </w:p>
        </w:tc>
        <w:tc>
          <w:tcPr>
            <w:tcW w:w="1128" w:type="dxa"/>
            <w:tcBorders/>
            <w:shd w:fill="CCEEFF" w:val="clear"/>
            <w:tcMar>
              <w:bottom w:w="0" w:type="dxa"/>
            </w:tcMar>
            <w:vAlign w:val="bottom"/>
          </w:tcPr>
          <w:p>
            <w:pPr>
              <w:pStyle w:val="TableContents"/>
              <w:bidi w:val="0"/>
              <w:spacing w:before="0" w:after="0"/>
              <w:jc w:val="right"/>
              <w:rPr/>
            </w:pPr>
            <w:r>
              <w:rPr/>
              <w:t>50,823</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890" w:type="dxa"/>
            <w:tcBorders/>
            <w:tcMar>
              <w:bottom w:w="0" w:type="dxa"/>
            </w:tcMar>
            <w:vAlign w:val="bottom"/>
          </w:tcPr>
          <w:p>
            <w:pPr>
              <w:pStyle w:val="TableContents"/>
              <w:bidi w:val="0"/>
              <w:spacing w:before="0" w:after="0"/>
              <w:jc w:val="left"/>
              <w:rPr/>
            </w:pPr>
            <w:r>
              <w:rPr/>
              <w:t>Short-term bank deposits</w:t>
            </w:r>
          </w:p>
        </w:tc>
        <w:tc>
          <w:tcPr>
            <w:tcW w:w="60" w:type="dxa"/>
            <w:tcBorders/>
            <w:tcMar>
              <w:bottom w:w="0" w:type="dxa"/>
            </w:tcMar>
            <w:vAlign w:val="bottom"/>
          </w:tcPr>
          <w:p>
            <w:pPr>
              <w:pStyle w:val="TableContents"/>
              <w:bidi w:val="0"/>
              <w:spacing w:before="0" w:after="283"/>
              <w:jc w:val="left"/>
              <w:rPr/>
            </w:pPr>
            <w:r>
              <w:rPr/>
              <w:t> </w:t>
            </w:r>
          </w:p>
        </w:tc>
        <w:tc>
          <w:tcPr>
            <w:tcW w:w="169" w:type="dxa"/>
            <w:tcBorders/>
            <w:tcMar>
              <w:bottom w:w="0" w:type="dxa"/>
            </w:tcMar>
            <w:vAlign w:val="bottom"/>
          </w:tcPr>
          <w:p>
            <w:pPr>
              <w:pStyle w:val="TableContents"/>
              <w:bidi w:val="0"/>
              <w:spacing w:before="0" w:after="283"/>
              <w:jc w:val="left"/>
              <w:rPr/>
            </w:pPr>
            <w:r>
              <w:rPr/>
              <w:t> </w:t>
            </w:r>
          </w:p>
        </w:tc>
        <w:tc>
          <w:tcPr>
            <w:tcW w:w="2266" w:type="dxa"/>
            <w:tcBorders/>
            <w:tcMar>
              <w:bottom w:w="0" w:type="dxa"/>
            </w:tcMar>
            <w:vAlign w:val="bottom"/>
          </w:tcPr>
          <w:p>
            <w:pPr>
              <w:pStyle w:val="TableContents"/>
              <w:bidi w:val="0"/>
              <w:spacing w:before="0" w:after="0"/>
              <w:jc w:val="right"/>
              <w:rPr/>
            </w:pPr>
            <w:r>
              <w:rPr/>
              <w:t>12,307</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5" w:type="dxa"/>
            <w:tcBorders/>
            <w:tcMar>
              <w:bottom w:w="0" w:type="dxa"/>
            </w:tcMar>
            <w:vAlign w:val="bottom"/>
          </w:tcPr>
          <w:p>
            <w:pPr>
              <w:pStyle w:val="TableContents"/>
              <w:bidi w:val="0"/>
              <w:spacing w:before="0" w:after="283"/>
              <w:jc w:val="left"/>
              <w:rPr/>
            </w:pPr>
            <w:r>
              <w:rPr/>
              <w:t> </w:t>
            </w:r>
          </w:p>
        </w:tc>
        <w:tc>
          <w:tcPr>
            <w:tcW w:w="1240" w:type="dxa"/>
            <w:tcBorders/>
            <w:tcMar>
              <w:bottom w:w="0" w:type="dxa"/>
            </w:tcMar>
            <w:vAlign w:val="bottom"/>
          </w:tcPr>
          <w:p>
            <w:pPr>
              <w:pStyle w:val="TableContents"/>
              <w:bidi w:val="0"/>
              <w:spacing w:before="0" w:after="0"/>
              <w:jc w:val="right"/>
              <w:rPr/>
            </w:pPr>
            <w:r>
              <w:rPr/>
              <w:t>-</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2027" w:type="dxa"/>
            <w:tcBorders/>
            <w:tcMar>
              <w:bottom w:w="0" w:type="dxa"/>
            </w:tcMar>
            <w:vAlign w:val="bottom"/>
          </w:tcPr>
          <w:p>
            <w:pPr>
              <w:pStyle w:val="TableContents"/>
              <w:bidi w:val="0"/>
              <w:spacing w:before="0" w:after="0"/>
              <w:jc w:val="right"/>
              <w:rPr/>
            </w:pPr>
            <w:r>
              <w:rPr/>
              <w:t>12,307</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80"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80"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80"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80" w:type="dxa"/>
            <w:gridSpan w:val="2"/>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7" w:type="dxa"/>
            <w:tcBorders/>
            <w:tcMar>
              <w:bottom w:w="0" w:type="dxa"/>
            </w:tcMar>
            <w:vAlign w:val="bottom"/>
          </w:tcPr>
          <w:p>
            <w:pPr>
              <w:pStyle w:val="TableContents"/>
              <w:bidi w:val="0"/>
              <w:spacing w:before="0" w:after="283"/>
              <w:jc w:val="left"/>
              <w:rPr/>
            </w:pPr>
            <w:r>
              <w:rPr/>
              <w:t> </w:t>
            </w:r>
          </w:p>
        </w:tc>
        <w:tc>
          <w:tcPr>
            <w:tcW w:w="1128" w:type="dxa"/>
            <w:tcBorders/>
            <w:tcMar>
              <w:bottom w:w="0" w:type="dxa"/>
            </w:tcMar>
            <w:vAlign w:val="bottom"/>
          </w:tcPr>
          <w:p>
            <w:pPr>
              <w:pStyle w:val="TableContents"/>
              <w:bidi w:val="0"/>
              <w:spacing w:before="0" w:after="0"/>
              <w:jc w:val="right"/>
              <w:rPr/>
            </w:pPr>
            <w:r>
              <w:rPr/>
              <w:t>12,307</w:t>
            </w:r>
          </w:p>
        </w:tc>
        <w:tc>
          <w:tcPr>
            <w:tcW w:w="95" w:type="dxa"/>
            <w:tcBorders/>
            <w:tcMar>
              <w:bottom w:w="0" w:type="dxa"/>
            </w:tcMar>
            <w:vAlign w:val="bottom"/>
          </w:tcPr>
          <w:p>
            <w:pPr>
              <w:pStyle w:val="TableContents"/>
              <w:bidi w:val="0"/>
              <w:spacing w:before="0" w:after="283"/>
              <w:jc w:val="left"/>
              <w:rPr/>
            </w:pPr>
            <w:r>
              <w:rPr/>
              <w:t> </w:t>
            </w:r>
          </w:p>
        </w:tc>
      </w:tr>
      <w:tr>
        <w:trPr/>
        <w:tc>
          <w:tcPr>
            <w:tcW w:w="6890" w:type="dxa"/>
            <w:tcBorders/>
            <w:shd w:fill="CCEEFF" w:val="clear"/>
            <w:tcMar>
              <w:bottom w:w="0" w:type="dxa"/>
            </w:tcMar>
            <w:vAlign w:val="bottom"/>
          </w:tcPr>
          <w:p>
            <w:pPr>
              <w:pStyle w:val="TableContents"/>
              <w:bidi w:val="0"/>
              <w:spacing w:before="0" w:after="0"/>
              <w:jc w:val="left"/>
              <w:rPr/>
            </w:pPr>
            <w:r>
              <w:rPr/>
              <w:t>Short-term investments</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2266" w:type="dxa"/>
            <w:tcBorders/>
            <w:shd w:fill="CCEEFF" w:val="clear"/>
            <w:tcMar>
              <w:bottom w:w="0" w:type="dxa"/>
            </w:tcMar>
            <w:vAlign w:val="bottom"/>
          </w:tcPr>
          <w:p>
            <w:pPr>
              <w:pStyle w:val="TableContents"/>
              <w:bidi w:val="0"/>
              <w:spacing w:before="0" w:after="0"/>
              <w:jc w:val="right"/>
              <w:rPr/>
            </w:pPr>
            <w:r>
              <w:rPr/>
              <w:t>-</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5" w:type="dxa"/>
            <w:tcBorders/>
            <w:shd w:fill="CCEEFF" w:val="clear"/>
            <w:tcMar>
              <w:bottom w:w="0" w:type="dxa"/>
            </w:tcMar>
            <w:vAlign w:val="bottom"/>
          </w:tcPr>
          <w:p>
            <w:pPr>
              <w:pStyle w:val="TableContents"/>
              <w:bidi w:val="0"/>
              <w:spacing w:before="0" w:after="283"/>
              <w:jc w:val="left"/>
              <w:rPr/>
            </w:pPr>
            <w:r>
              <w:rPr/>
              <w:t> </w:t>
            </w:r>
          </w:p>
        </w:tc>
        <w:tc>
          <w:tcPr>
            <w:tcW w:w="1240" w:type="dxa"/>
            <w:tcBorders/>
            <w:shd w:fill="CCEEFF" w:val="clear"/>
            <w:tcMar>
              <w:bottom w:w="0" w:type="dxa"/>
            </w:tcMar>
            <w:vAlign w:val="bottom"/>
          </w:tcPr>
          <w:p>
            <w:pPr>
              <w:pStyle w:val="TableContents"/>
              <w:bidi w:val="0"/>
              <w:spacing w:before="0" w:after="0"/>
              <w:jc w:val="right"/>
              <w:rPr/>
            </w:pPr>
            <w:r>
              <w:rPr/>
              <w:t>21,998</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2027" w:type="dxa"/>
            <w:tcBorders/>
            <w:shd w:fill="CCEEFF" w:val="clear"/>
            <w:tcMar>
              <w:bottom w:w="0" w:type="dxa"/>
            </w:tcMar>
            <w:vAlign w:val="bottom"/>
          </w:tcPr>
          <w:p>
            <w:pPr>
              <w:pStyle w:val="TableContents"/>
              <w:bidi w:val="0"/>
              <w:spacing w:before="0" w:after="0"/>
              <w:jc w:val="right"/>
              <w:rPr/>
            </w:pPr>
            <w:r>
              <w:rPr/>
              <w:t>21,998</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80" w:type="dxa"/>
            <w:gridSpan w:val="2"/>
            <w:tcBorders/>
            <w:shd w:fill="CCEEFF" w:val="clear"/>
            <w:tcMar>
              <w:bottom w:w="0" w:type="dxa"/>
            </w:tcMar>
            <w:vAlign w:val="bottom"/>
          </w:tcPr>
          <w:p>
            <w:pPr>
              <w:pStyle w:val="TableContents"/>
              <w:bidi w:val="0"/>
              <w:spacing w:before="0" w:after="283"/>
              <w:jc w:val="lef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80" w:type="dxa"/>
            <w:gridSpan w:val="2"/>
            <w:tcBorders/>
            <w:shd w:fill="CCEEFF" w:val="clear"/>
            <w:tcMar>
              <w:bottom w:w="0" w:type="dxa"/>
            </w:tcMar>
            <w:vAlign w:val="bottom"/>
          </w:tcPr>
          <w:p>
            <w:pPr>
              <w:pStyle w:val="TableContents"/>
              <w:bidi w:val="0"/>
              <w:spacing w:before="0" w:after="283"/>
              <w:jc w:val="lef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80" w:type="dxa"/>
            <w:gridSpan w:val="2"/>
            <w:tcBorders/>
            <w:shd w:fill="CCEEFF" w:val="clear"/>
            <w:tcMar>
              <w:bottom w:w="0" w:type="dxa"/>
            </w:tcMar>
            <w:vAlign w:val="bottom"/>
          </w:tcPr>
          <w:p>
            <w:pPr>
              <w:pStyle w:val="TableContents"/>
              <w:bidi w:val="0"/>
              <w:spacing w:before="0" w:after="283"/>
              <w:jc w:val="lef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80" w:type="dxa"/>
            <w:gridSpan w:val="2"/>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7" w:type="dxa"/>
            <w:tcBorders/>
            <w:shd w:fill="CCEEFF" w:val="clear"/>
            <w:tcMar>
              <w:bottom w:w="0" w:type="dxa"/>
            </w:tcMar>
            <w:vAlign w:val="bottom"/>
          </w:tcPr>
          <w:p>
            <w:pPr>
              <w:pStyle w:val="TableContents"/>
              <w:bidi w:val="0"/>
              <w:spacing w:before="0" w:after="283"/>
              <w:jc w:val="left"/>
              <w:rPr/>
            </w:pPr>
            <w:r>
              <w:rPr/>
              <w:t> </w:t>
            </w:r>
          </w:p>
        </w:tc>
        <w:tc>
          <w:tcPr>
            <w:tcW w:w="1128" w:type="dxa"/>
            <w:tcBorders/>
            <w:shd w:fill="CCEEFF" w:val="clear"/>
            <w:tcMar>
              <w:bottom w:w="0" w:type="dxa"/>
            </w:tcMar>
            <w:vAlign w:val="bottom"/>
          </w:tcPr>
          <w:p>
            <w:pPr>
              <w:pStyle w:val="TableContents"/>
              <w:bidi w:val="0"/>
              <w:spacing w:before="0" w:after="0"/>
              <w:jc w:val="right"/>
              <w:rPr/>
            </w:pPr>
            <w:r>
              <w:rPr/>
              <w:t>21,998</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890" w:type="dxa"/>
            <w:tcBorders/>
            <w:tcMar>
              <w:bottom w:w="0" w:type="dxa"/>
            </w:tcMar>
            <w:vAlign w:val="bottom"/>
          </w:tcPr>
          <w:p>
            <w:pPr>
              <w:pStyle w:val="TableContents"/>
              <w:bidi w:val="0"/>
              <w:spacing w:before="0" w:after="0"/>
              <w:jc w:val="left"/>
              <w:rPr/>
            </w:pPr>
            <w:r>
              <w:rPr/>
              <w:t>Notes receivable</w:t>
            </w:r>
          </w:p>
        </w:tc>
        <w:tc>
          <w:tcPr>
            <w:tcW w:w="60" w:type="dxa"/>
            <w:tcBorders/>
            <w:tcMar>
              <w:bottom w:w="0" w:type="dxa"/>
            </w:tcMar>
            <w:vAlign w:val="bottom"/>
          </w:tcPr>
          <w:p>
            <w:pPr>
              <w:pStyle w:val="TableContents"/>
              <w:bidi w:val="0"/>
              <w:spacing w:before="0" w:after="283"/>
              <w:jc w:val="left"/>
              <w:rPr/>
            </w:pPr>
            <w:r>
              <w:rPr/>
              <w:t> </w:t>
            </w:r>
          </w:p>
        </w:tc>
        <w:tc>
          <w:tcPr>
            <w:tcW w:w="169" w:type="dxa"/>
            <w:tcBorders/>
            <w:tcMar>
              <w:bottom w:w="0" w:type="dxa"/>
            </w:tcMar>
            <w:vAlign w:val="bottom"/>
          </w:tcPr>
          <w:p>
            <w:pPr>
              <w:pStyle w:val="TableContents"/>
              <w:bidi w:val="0"/>
              <w:spacing w:before="0" w:after="283"/>
              <w:jc w:val="left"/>
              <w:rPr/>
            </w:pPr>
            <w:r>
              <w:rPr/>
              <w:t> </w:t>
            </w:r>
          </w:p>
        </w:tc>
        <w:tc>
          <w:tcPr>
            <w:tcW w:w="2266" w:type="dxa"/>
            <w:tcBorders/>
            <w:tcMar>
              <w:bottom w:w="0" w:type="dxa"/>
            </w:tcMar>
            <w:vAlign w:val="bottom"/>
          </w:tcPr>
          <w:p>
            <w:pPr>
              <w:pStyle w:val="TableContents"/>
              <w:bidi w:val="0"/>
              <w:spacing w:before="0" w:after="0"/>
              <w:jc w:val="right"/>
              <w:rPr/>
            </w:pPr>
            <w:r>
              <w:rPr/>
              <w:t>3,817</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5" w:type="dxa"/>
            <w:tcBorders/>
            <w:tcMar>
              <w:bottom w:w="0" w:type="dxa"/>
            </w:tcMar>
            <w:vAlign w:val="bottom"/>
          </w:tcPr>
          <w:p>
            <w:pPr>
              <w:pStyle w:val="TableContents"/>
              <w:bidi w:val="0"/>
              <w:spacing w:before="0" w:after="283"/>
              <w:jc w:val="left"/>
              <w:rPr/>
            </w:pPr>
            <w:r>
              <w:rPr/>
              <w:t> </w:t>
            </w:r>
          </w:p>
        </w:tc>
        <w:tc>
          <w:tcPr>
            <w:tcW w:w="1240" w:type="dxa"/>
            <w:tcBorders/>
            <w:tcMar>
              <w:bottom w:w="0" w:type="dxa"/>
            </w:tcMar>
            <w:vAlign w:val="bottom"/>
          </w:tcPr>
          <w:p>
            <w:pPr>
              <w:pStyle w:val="TableContents"/>
              <w:bidi w:val="0"/>
              <w:spacing w:before="0" w:after="0"/>
              <w:jc w:val="right"/>
              <w:rPr/>
            </w:pPr>
            <w:r>
              <w:rPr/>
              <w:t>-</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2027" w:type="dxa"/>
            <w:tcBorders/>
            <w:tcMar>
              <w:bottom w:w="0" w:type="dxa"/>
            </w:tcMar>
            <w:vAlign w:val="bottom"/>
          </w:tcPr>
          <w:p>
            <w:pPr>
              <w:pStyle w:val="TableContents"/>
              <w:bidi w:val="0"/>
              <w:spacing w:before="0" w:after="0"/>
              <w:jc w:val="right"/>
              <w:rPr/>
            </w:pPr>
            <w:r>
              <w:rPr/>
              <w:t>3,817</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80"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80"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80"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80" w:type="dxa"/>
            <w:gridSpan w:val="2"/>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7" w:type="dxa"/>
            <w:tcBorders/>
            <w:tcMar>
              <w:bottom w:w="0" w:type="dxa"/>
            </w:tcMar>
            <w:vAlign w:val="bottom"/>
          </w:tcPr>
          <w:p>
            <w:pPr>
              <w:pStyle w:val="TableContents"/>
              <w:bidi w:val="0"/>
              <w:spacing w:before="0" w:after="283"/>
              <w:jc w:val="left"/>
              <w:rPr/>
            </w:pPr>
            <w:r>
              <w:rPr/>
              <w:t> </w:t>
            </w:r>
          </w:p>
        </w:tc>
        <w:tc>
          <w:tcPr>
            <w:tcW w:w="1128" w:type="dxa"/>
            <w:tcBorders/>
            <w:tcMar>
              <w:bottom w:w="0" w:type="dxa"/>
            </w:tcMar>
            <w:vAlign w:val="bottom"/>
          </w:tcPr>
          <w:p>
            <w:pPr>
              <w:pStyle w:val="TableContents"/>
              <w:bidi w:val="0"/>
              <w:spacing w:before="0" w:after="0"/>
              <w:jc w:val="right"/>
              <w:rPr/>
            </w:pPr>
            <w:r>
              <w:rPr/>
              <w:t>3,817</w:t>
            </w:r>
          </w:p>
        </w:tc>
        <w:tc>
          <w:tcPr>
            <w:tcW w:w="95" w:type="dxa"/>
            <w:tcBorders/>
            <w:tcMar>
              <w:bottom w:w="0" w:type="dxa"/>
            </w:tcMar>
            <w:vAlign w:val="bottom"/>
          </w:tcPr>
          <w:p>
            <w:pPr>
              <w:pStyle w:val="TableContents"/>
              <w:bidi w:val="0"/>
              <w:spacing w:before="0" w:after="283"/>
              <w:jc w:val="left"/>
              <w:rPr/>
            </w:pPr>
            <w:r>
              <w:rPr/>
              <w:t> </w:t>
            </w:r>
          </w:p>
        </w:tc>
      </w:tr>
      <w:tr>
        <w:trPr/>
        <w:tc>
          <w:tcPr>
            <w:tcW w:w="6890" w:type="dxa"/>
            <w:tcBorders/>
            <w:shd w:fill="CCEEFF" w:val="clear"/>
            <w:tcMar>
              <w:bottom w:w="0" w:type="dxa"/>
            </w:tcMar>
            <w:vAlign w:val="bottom"/>
          </w:tcPr>
          <w:p>
            <w:pPr>
              <w:pStyle w:val="TableContents"/>
              <w:bidi w:val="0"/>
              <w:spacing w:before="0" w:after="0"/>
              <w:jc w:val="left"/>
              <w:rPr/>
            </w:pPr>
            <w:r>
              <w:rPr/>
              <w:t>Accounts receivables, net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2266" w:type="dxa"/>
            <w:tcBorders/>
            <w:shd w:fill="CCEEFF" w:val="clear"/>
            <w:tcMar>
              <w:bottom w:w="0" w:type="dxa"/>
            </w:tcMar>
            <w:vAlign w:val="bottom"/>
          </w:tcPr>
          <w:p>
            <w:pPr>
              <w:pStyle w:val="TableContents"/>
              <w:bidi w:val="0"/>
              <w:spacing w:before="0" w:after="0"/>
              <w:jc w:val="right"/>
              <w:rPr/>
            </w:pPr>
            <w:r>
              <w:rPr/>
              <w:t>22,763</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5" w:type="dxa"/>
            <w:tcBorders/>
            <w:shd w:fill="CCEEFF" w:val="clear"/>
            <w:tcMar>
              <w:bottom w:w="0" w:type="dxa"/>
            </w:tcMar>
            <w:vAlign w:val="bottom"/>
          </w:tcPr>
          <w:p>
            <w:pPr>
              <w:pStyle w:val="TableContents"/>
              <w:bidi w:val="0"/>
              <w:spacing w:before="0" w:after="283"/>
              <w:jc w:val="left"/>
              <w:rPr/>
            </w:pPr>
            <w:r>
              <w:rPr/>
              <w:t> </w:t>
            </w:r>
          </w:p>
        </w:tc>
        <w:tc>
          <w:tcPr>
            <w:tcW w:w="1240" w:type="dxa"/>
            <w:tcBorders/>
            <w:shd w:fill="CCEEFF" w:val="clear"/>
            <w:tcMar>
              <w:bottom w:w="0" w:type="dxa"/>
            </w:tcMar>
            <w:vAlign w:val="bottom"/>
          </w:tcPr>
          <w:p>
            <w:pPr>
              <w:pStyle w:val="TableContents"/>
              <w:bidi w:val="0"/>
              <w:spacing w:before="0" w:after="0"/>
              <w:jc w:val="right"/>
              <w:rPr/>
            </w:pPr>
            <w:r>
              <w:rPr/>
              <w:t>-</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2027" w:type="dxa"/>
            <w:tcBorders/>
            <w:shd w:fill="CCEEFF" w:val="clear"/>
            <w:tcMar>
              <w:bottom w:w="0" w:type="dxa"/>
            </w:tcMar>
            <w:vAlign w:val="bottom"/>
          </w:tcPr>
          <w:p>
            <w:pPr>
              <w:pStyle w:val="TableContents"/>
              <w:bidi w:val="0"/>
              <w:spacing w:before="0" w:after="0"/>
              <w:jc w:val="right"/>
              <w:rPr/>
            </w:pPr>
            <w:r>
              <w:rPr/>
              <w:t>22,763</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80" w:type="dxa"/>
            <w:gridSpan w:val="2"/>
            <w:tcBorders/>
            <w:shd w:fill="CCEEFF" w:val="clear"/>
            <w:tcMar>
              <w:bottom w:w="0" w:type="dxa"/>
            </w:tcMar>
            <w:vAlign w:val="bottom"/>
          </w:tcPr>
          <w:p>
            <w:pPr>
              <w:pStyle w:val="TableContents"/>
              <w:bidi w:val="0"/>
              <w:spacing w:before="0" w:after="283"/>
              <w:jc w:val="lef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80" w:type="dxa"/>
            <w:gridSpan w:val="2"/>
            <w:tcBorders/>
            <w:shd w:fill="CCEEFF" w:val="clear"/>
            <w:tcMar>
              <w:bottom w:w="0" w:type="dxa"/>
            </w:tcMar>
            <w:vAlign w:val="bottom"/>
          </w:tcPr>
          <w:p>
            <w:pPr>
              <w:pStyle w:val="TableContents"/>
              <w:bidi w:val="0"/>
              <w:spacing w:before="0" w:after="283"/>
              <w:jc w:val="lef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80" w:type="dxa"/>
            <w:gridSpan w:val="2"/>
            <w:tcBorders/>
            <w:shd w:fill="CCEEFF" w:val="clear"/>
            <w:tcMar>
              <w:bottom w:w="0" w:type="dxa"/>
            </w:tcMar>
            <w:vAlign w:val="bottom"/>
          </w:tcPr>
          <w:p>
            <w:pPr>
              <w:pStyle w:val="TableContents"/>
              <w:bidi w:val="0"/>
              <w:spacing w:before="0" w:after="283"/>
              <w:jc w:val="lef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80" w:type="dxa"/>
            <w:gridSpan w:val="2"/>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7" w:type="dxa"/>
            <w:tcBorders/>
            <w:shd w:fill="CCEEFF" w:val="clear"/>
            <w:tcMar>
              <w:bottom w:w="0" w:type="dxa"/>
            </w:tcMar>
            <w:vAlign w:val="bottom"/>
          </w:tcPr>
          <w:p>
            <w:pPr>
              <w:pStyle w:val="TableContents"/>
              <w:bidi w:val="0"/>
              <w:spacing w:before="0" w:after="283"/>
              <w:jc w:val="left"/>
              <w:rPr/>
            </w:pPr>
            <w:r>
              <w:rPr/>
              <w:t> </w:t>
            </w:r>
          </w:p>
        </w:tc>
        <w:tc>
          <w:tcPr>
            <w:tcW w:w="1128" w:type="dxa"/>
            <w:tcBorders/>
            <w:shd w:fill="CCEEFF" w:val="clear"/>
            <w:tcMar>
              <w:bottom w:w="0" w:type="dxa"/>
            </w:tcMar>
            <w:vAlign w:val="bottom"/>
          </w:tcPr>
          <w:p>
            <w:pPr>
              <w:pStyle w:val="TableContents"/>
              <w:bidi w:val="0"/>
              <w:spacing w:before="0" w:after="0"/>
              <w:jc w:val="right"/>
              <w:rPr/>
            </w:pPr>
            <w:r>
              <w:rPr/>
              <w:t>22,763</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890" w:type="dxa"/>
            <w:tcBorders/>
            <w:tcMar>
              <w:bottom w:w="0" w:type="dxa"/>
            </w:tcMar>
            <w:vAlign w:val="bottom"/>
          </w:tcPr>
          <w:p>
            <w:pPr>
              <w:pStyle w:val="TableContents"/>
              <w:bidi w:val="0"/>
              <w:spacing w:before="0" w:after="0"/>
              <w:jc w:val="left"/>
              <w:rPr/>
            </w:pPr>
            <w:r>
              <w:rPr/>
              <w:t>Other receivables from GNI</w:t>
            </w:r>
          </w:p>
        </w:tc>
        <w:tc>
          <w:tcPr>
            <w:tcW w:w="60" w:type="dxa"/>
            <w:tcBorders/>
            <w:tcMar>
              <w:bottom w:w="0" w:type="dxa"/>
            </w:tcMar>
            <w:vAlign w:val="bottom"/>
          </w:tcPr>
          <w:p>
            <w:pPr>
              <w:pStyle w:val="TableContents"/>
              <w:bidi w:val="0"/>
              <w:spacing w:before="0" w:after="283"/>
              <w:jc w:val="left"/>
              <w:rPr/>
            </w:pPr>
            <w:r>
              <w:rPr/>
              <w:t> </w:t>
            </w:r>
          </w:p>
        </w:tc>
        <w:tc>
          <w:tcPr>
            <w:tcW w:w="169" w:type="dxa"/>
            <w:tcBorders/>
            <w:tcMar>
              <w:bottom w:w="0" w:type="dxa"/>
            </w:tcMar>
            <w:vAlign w:val="bottom"/>
          </w:tcPr>
          <w:p>
            <w:pPr>
              <w:pStyle w:val="TableContents"/>
              <w:bidi w:val="0"/>
              <w:spacing w:before="0" w:after="283"/>
              <w:jc w:val="left"/>
              <w:rPr/>
            </w:pPr>
            <w:r>
              <w:rPr/>
              <w:t> </w:t>
            </w:r>
          </w:p>
        </w:tc>
        <w:tc>
          <w:tcPr>
            <w:tcW w:w="2266" w:type="dxa"/>
            <w:tcBorders/>
            <w:tcMar>
              <w:bottom w:w="0" w:type="dxa"/>
            </w:tcMar>
            <w:vAlign w:val="bottom"/>
          </w:tcPr>
          <w:p>
            <w:pPr>
              <w:pStyle w:val="TableContents"/>
              <w:bidi w:val="0"/>
              <w:spacing w:before="0" w:after="0"/>
              <w:jc w:val="right"/>
              <w:rPr/>
            </w:pPr>
            <w:r>
              <w:rPr/>
              <w:t>230</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5" w:type="dxa"/>
            <w:tcBorders/>
            <w:tcMar>
              <w:bottom w:w="0" w:type="dxa"/>
            </w:tcMar>
            <w:vAlign w:val="bottom"/>
          </w:tcPr>
          <w:p>
            <w:pPr>
              <w:pStyle w:val="TableContents"/>
              <w:bidi w:val="0"/>
              <w:spacing w:before="0" w:after="283"/>
              <w:jc w:val="left"/>
              <w:rPr/>
            </w:pPr>
            <w:r>
              <w:rPr/>
              <w:t> </w:t>
            </w:r>
          </w:p>
        </w:tc>
        <w:tc>
          <w:tcPr>
            <w:tcW w:w="1240" w:type="dxa"/>
            <w:tcBorders/>
            <w:tcMar>
              <w:bottom w:w="0" w:type="dxa"/>
            </w:tcMar>
            <w:vAlign w:val="bottom"/>
          </w:tcPr>
          <w:p>
            <w:pPr>
              <w:pStyle w:val="TableContents"/>
              <w:bidi w:val="0"/>
              <w:spacing w:before="0" w:after="0"/>
              <w:jc w:val="right"/>
              <w:rPr/>
            </w:pPr>
            <w:r>
              <w:rPr/>
              <w:t>-</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2027" w:type="dxa"/>
            <w:tcBorders/>
            <w:tcMar>
              <w:bottom w:w="0" w:type="dxa"/>
            </w:tcMar>
            <w:vAlign w:val="bottom"/>
          </w:tcPr>
          <w:p>
            <w:pPr>
              <w:pStyle w:val="TableContents"/>
              <w:bidi w:val="0"/>
              <w:spacing w:before="0" w:after="0"/>
              <w:jc w:val="right"/>
              <w:rPr/>
            </w:pPr>
            <w:r>
              <w:rPr/>
              <w:t>230</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80"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80"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80" w:type="dxa"/>
            <w:gridSpan w:val="2"/>
            <w:tcBorders/>
            <w:tcMar>
              <w:bottom w:w="0" w:type="dxa"/>
            </w:tcMar>
            <w:vAlign w:val="bottom"/>
          </w:tcPr>
          <w:p>
            <w:pPr>
              <w:pStyle w:val="TableContents"/>
              <w:bidi w:val="0"/>
              <w:spacing w:before="0" w:after="283"/>
              <w:jc w:val="lef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80" w:type="dxa"/>
            <w:gridSpan w:val="2"/>
            <w:tcBorders/>
            <w:tcMar>
              <w:bottom w:w="0" w:type="dxa"/>
            </w:tcMar>
            <w:vAlign w:val="bottom"/>
          </w:tcPr>
          <w:p>
            <w:pPr>
              <w:pStyle w:val="TableContents"/>
              <w:bidi w:val="0"/>
              <w:spacing w:before="0" w:after="283"/>
              <w:jc w:val="left"/>
              <w:rPr/>
            </w:pPr>
            <w:r>
              <w:rPr/>
              <w:t> </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7" w:type="dxa"/>
            <w:tcBorders/>
            <w:tcMar>
              <w:bottom w:w="0" w:type="dxa"/>
            </w:tcMar>
            <w:vAlign w:val="bottom"/>
          </w:tcPr>
          <w:p>
            <w:pPr>
              <w:pStyle w:val="TableContents"/>
              <w:bidi w:val="0"/>
              <w:spacing w:before="0" w:after="283"/>
              <w:jc w:val="left"/>
              <w:rPr/>
            </w:pPr>
            <w:r>
              <w:rPr/>
              <w:t> </w:t>
            </w:r>
          </w:p>
        </w:tc>
        <w:tc>
          <w:tcPr>
            <w:tcW w:w="1128" w:type="dxa"/>
            <w:tcBorders/>
            <w:tcMar>
              <w:bottom w:w="0" w:type="dxa"/>
            </w:tcMar>
            <w:vAlign w:val="bottom"/>
          </w:tcPr>
          <w:p>
            <w:pPr>
              <w:pStyle w:val="TableContents"/>
              <w:bidi w:val="0"/>
              <w:spacing w:before="0" w:after="0"/>
              <w:jc w:val="right"/>
              <w:rPr/>
            </w:pPr>
            <w:r>
              <w:rPr/>
              <w:t>230</w:t>
            </w:r>
          </w:p>
        </w:tc>
        <w:tc>
          <w:tcPr>
            <w:tcW w:w="95" w:type="dxa"/>
            <w:tcBorders/>
            <w:tcMar>
              <w:bottom w:w="0" w:type="dxa"/>
            </w:tcMar>
            <w:vAlign w:val="bottom"/>
          </w:tcPr>
          <w:p>
            <w:pPr>
              <w:pStyle w:val="TableContents"/>
              <w:bidi w:val="0"/>
              <w:spacing w:before="0" w:after="283"/>
              <w:jc w:val="left"/>
              <w:rPr/>
            </w:pPr>
            <w:r>
              <w:rPr/>
              <w:t> </w:t>
            </w:r>
          </w:p>
        </w:tc>
      </w:tr>
      <w:tr>
        <w:trPr/>
        <w:tc>
          <w:tcPr>
            <w:tcW w:w="6890" w:type="dxa"/>
            <w:tcBorders/>
            <w:shd w:fill="CCEEFF" w:val="clear"/>
            <w:tcMar>
              <w:bottom w:w="0" w:type="dxa"/>
            </w:tcMar>
            <w:vAlign w:val="bottom"/>
          </w:tcPr>
          <w:p>
            <w:pPr>
              <w:pStyle w:val="TableContents"/>
              <w:bidi w:val="0"/>
              <w:spacing w:before="0" w:after="0"/>
              <w:jc w:val="left"/>
              <w:rPr/>
            </w:pPr>
            <w:r>
              <w:rPr/>
              <w:t>Inventories</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2266" w:type="dxa"/>
            <w:tcBorders/>
            <w:shd w:fill="CCEEFF" w:val="clear"/>
            <w:tcMar>
              <w:bottom w:w="0" w:type="dxa"/>
            </w:tcMar>
            <w:vAlign w:val="bottom"/>
          </w:tcPr>
          <w:p>
            <w:pPr>
              <w:pStyle w:val="TableContents"/>
              <w:bidi w:val="0"/>
              <w:spacing w:before="0" w:after="0"/>
              <w:jc w:val="right"/>
              <w:rPr/>
            </w:pPr>
            <w:r>
              <w:rPr/>
              <w:t>11,352</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5" w:type="dxa"/>
            <w:tcBorders/>
            <w:shd w:fill="CCEEFF" w:val="clear"/>
            <w:tcMar>
              <w:bottom w:w="0" w:type="dxa"/>
            </w:tcMar>
            <w:vAlign w:val="bottom"/>
          </w:tcPr>
          <w:p>
            <w:pPr>
              <w:pStyle w:val="TableContents"/>
              <w:bidi w:val="0"/>
              <w:spacing w:before="0" w:after="283"/>
              <w:jc w:val="left"/>
              <w:rPr/>
            </w:pPr>
            <w:r>
              <w:rPr/>
              <w:t> </w:t>
            </w:r>
          </w:p>
        </w:tc>
        <w:tc>
          <w:tcPr>
            <w:tcW w:w="1240" w:type="dxa"/>
            <w:tcBorders/>
            <w:shd w:fill="CCEEFF" w:val="clear"/>
            <w:tcMar>
              <w:bottom w:w="0" w:type="dxa"/>
            </w:tcMar>
            <w:vAlign w:val="bottom"/>
          </w:tcPr>
          <w:p>
            <w:pPr>
              <w:pStyle w:val="TableContents"/>
              <w:bidi w:val="0"/>
              <w:spacing w:before="0" w:after="0"/>
              <w:jc w:val="right"/>
              <w:rPr/>
            </w:pPr>
            <w:r>
              <w:rPr/>
              <w:t>-</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2027" w:type="dxa"/>
            <w:tcBorders/>
            <w:shd w:fill="CCEEFF" w:val="clear"/>
            <w:tcMar>
              <w:bottom w:w="0" w:type="dxa"/>
            </w:tcMar>
            <w:vAlign w:val="bottom"/>
          </w:tcPr>
          <w:p>
            <w:pPr>
              <w:pStyle w:val="TableContents"/>
              <w:bidi w:val="0"/>
              <w:spacing w:before="0" w:after="0"/>
              <w:jc w:val="right"/>
              <w:rPr/>
            </w:pPr>
            <w:r>
              <w:rPr/>
              <w:t>11,352</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80" w:type="dxa"/>
            <w:gridSpan w:val="2"/>
            <w:tcBorders/>
            <w:shd w:fill="CCEEFF" w:val="clear"/>
            <w:tcMar>
              <w:bottom w:w="0" w:type="dxa"/>
            </w:tcMar>
            <w:vAlign w:val="bottom"/>
          </w:tcPr>
          <w:p>
            <w:pPr>
              <w:pStyle w:val="TableContents"/>
              <w:bidi w:val="0"/>
              <w:spacing w:before="0" w:after="283"/>
              <w:jc w:val="lef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80" w:type="dxa"/>
            <w:gridSpan w:val="2"/>
            <w:tcBorders/>
            <w:shd w:fill="CCEEFF" w:val="clear"/>
            <w:tcMar>
              <w:bottom w:w="0" w:type="dxa"/>
            </w:tcMar>
            <w:vAlign w:val="bottom"/>
          </w:tcPr>
          <w:p>
            <w:pPr>
              <w:pStyle w:val="TableContents"/>
              <w:bidi w:val="0"/>
              <w:spacing w:before="0" w:after="283"/>
              <w:jc w:val="lef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80" w:type="dxa"/>
            <w:gridSpan w:val="2"/>
            <w:tcBorders/>
            <w:shd w:fill="CCEEFF" w:val="clear"/>
            <w:tcMar>
              <w:bottom w:w="0" w:type="dxa"/>
            </w:tcMar>
            <w:vAlign w:val="bottom"/>
          </w:tcPr>
          <w:p>
            <w:pPr>
              <w:pStyle w:val="TableContents"/>
              <w:bidi w:val="0"/>
              <w:spacing w:before="0" w:after="283"/>
              <w:jc w:val="lef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80" w:type="dxa"/>
            <w:gridSpan w:val="2"/>
            <w:tcBorders/>
            <w:shd w:fill="CCEEFF" w:val="clear"/>
            <w:tcMar>
              <w:bottom w:w="0" w:type="dxa"/>
            </w:tcMar>
            <w:vAlign w:val="bottom"/>
          </w:tcPr>
          <w:p>
            <w:pPr>
              <w:pStyle w:val="TableContents"/>
              <w:bidi w:val="0"/>
              <w:spacing w:before="0" w:after="283"/>
              <w:jc w:val="lef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7" w:type="dxa"/>
            <w:tcBorders/>
            <w:shd w:fill="CCEEFF" w:val="clear"/>
            <w:tcMar>
              <w:bottom w:w="0" w:type="dxa"/>
            </w:tcMar>
            <w:vAlign w:val="bottom"/>
          </w:tcPr>
          <w:p>
            <w:pPr>
              <w:pStyle w:val="TableContents"/>
              <w:bidi w:val="0"/>
              <w:spacing w:before="0" w:after="283"/>
              <w:jc w:val="left"/>
              <w:rPr/>
            </w:pPr>
            <w:r>
              <w:rPr/>
              <w:t> </w:t>
            </w:r>
          </w:p>
        </w:tc>
        <w:tc>
          <w:tcPr>
            <w:tcW w:w="1128" w:type="dxa"/>
            <w:tcBorders/>
            <w:shd w:fill="CCEEFF" w:val="clear"/>
            <w:tcMar>
              <w:bottom w:w="0" w:type="dxa"/>
            </w:tcMar>
            <w:vAlign w:val="bottom"/>
          </w:tcPr>
          <w:p>
            <w:pPr>
              <w:pStyle w:val="TableContents"/>
              <w:bidi w:val="0"/>
              <w:spacing w:before="0" w:after="0"/>
              <w:jc w:val="right"/>
              <w:rPr/>
            </w:pPr>
            <w:r>
              <w:rPr/>
              <w:t>11,352</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890" w:type="dxa"/>
            <w:tcBorders>
              <w:bottom w:val="single" w:sz="12" w:space="0" w:color="000000"/>
            </w:tcBorders>
            <w:vAlign w:val="bottom"/>
          </w:tcPr>
          <w:p>
            <w:pPr>
              <w:pStyle w:val="TableContents"/>
              <w:bidi w:val="0"/>
              <w:spacing w:before="0" w:after="0"/>
              <w:jc w:val="left"/>
              <w:rPr/>
            </w:pPr>
            <w:r>
              <w:rPr/>
              <w:t>Prepaid assets and other current assets</w:t>
            </w:r>
          </w:p>
        </w:tc>
        <w:tc>
          <w:tcPr>
            <w:tcW w:w="60" w:type="dxa"/>
            <w:tcBorders>
              <w:bottom w:val="single" w:sz="12" w:space="0" w:color="000000"/>
            </w:tcBorders>
            <w:vAlign w:val="bottom"/>
          </w:tcPr>
          <w:p>
            <w:pPr>
              <w:pStyle w:val="TableContents"/>
              <w:bidi w:val="0"/>
              <w:spacing w:before="0" w:after="283"/>
              <w:jc w:val="left"/>
              <w:rPr/>
            </w:pPr>
            <w:r>
              <w:rPr/>
              <w:t> </w:t>
            </w:r>
          </w:p>
        </w:tc>
        <w:tc>
          <w:tcPr>
            <w:tcW w:w="169" w:type="dxa"/>
            <w:tcBorders>
              <w:bottom w:val="single" w:sz="12" w:space="0" w:color="000000"/>
            </w:tcBorders>
            <w:vAlign w:val="bottom"/>
          </w:tcPr>
          <w:p>
            <w:pPr>
              <w:pStyle w:val="TableContents"/>
              <w:bidi w:val="0"/>
              <w:spacing w:before="0" w:after="283"/>
              <w:jc w:val="left"/>
              <w:rPr/>
            </w:pPr>
            <w:r>
              <w:rPr/>
              <w:t> </w:t>
            </w:r>
          </w:p>
        </w:tc>
        <w:tc>
          <w:tcPr>
            <w:tcW w:w="2266" w:type="dxa"/>
            <w:tcBorders>
              <w:bottom w:val="single" w:sz="12" w:space="0" w:color="000000"/>
            </w:tcBorders>
            <w:vAlign w:val="bottom"/>
          </w:tcPr>
          <w:p>
            <w:pPr>
              <w:pStyle w:val="TableContents"/>
              <w:bidi w:val="0"/>
              <w:spacing w:before="0" w:after="0"/>
              <w:jc w:val="right"/>
              <w:rPr/>
            </w:pPr>
            <w:r>
              <w:rPr/>
              <w:t>3,762</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85" w:type="dxa"/>
            <w:tcBorders>
              <w:bottom w:val="single" w:sz="12" w:space="0" w:color="000000"/>
            </w:tcBorders>
            <w:vAlign w:val="bottom"/>
          </w:tcPr>
          <w:p>
            <w:pPr>
              <w:pStyle w:val="TableContents"/>
              <w:bidi w:val="0"/>
              <w:spacing w:before="0" w:after="283"/>
              <w:jc w:val="left"/>
              <w:rPr/>
            </w:pPr>
            <w:r>
              <w:rPr/>
              <w:t> </w:t>
            </w:r>
          </w:p>
        </w:tc>
        <w:tc>
          <w:tcPr>
            <w:tcW w:w="1240" w:type="dxa"/>
            <w:tcBorders>
              <w:bottom w:val="single" w:sz="12" w:space="0" w:color="000000"/>
            </w:tcBorders>
            <w:vAlign w:val="bottom"/>
          </w:tcPr>
          <w:p>
            <w:pPr>
              <w:pStyle w:val="TableContents"/>
              <w:bidi w:val="0"/>
              <w:spacing w:before="0" w:after="0"/>
              <w:jc w:val="right"/>
              <w:rPr/>
            </w:pPr>
            <w:r>
              <w:rPr/>
              <w:t>2,442</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38" w:type="dxa"/>
            <w:tcBorders>
              <w:bottom w:val="single" w:sz="12" w:space="0" w:color="000000"/>
            </w:tcBorders>
            <w:vAlign w:val="bottom"/>
          </w:tcPr>
          <w:p>
            <w:pPr>
              <w:pStyle w:val="TableContents"/>
              <w:bidi w:val="0"/>
              <w:spacing w:before="0" w:after="283"/>
              <w:jc w:val="left"/>
              <w:rPr/>
            </w:pPr>
            <w:r>
              <w:rPr/>
              <w:t> </w:t>
            </w:r>
          </w:p>
        </w:tc>
        <w:tc>
          <w:tcPr>
            <w:tcW w:w="2027" w:type="dxa"/>
            <w:tcBorders>
              <w:bottom w:val="single" w:sz="12" w:space="0" w:color="000000"/>
            </w:tcBorders>
            <w:vAlign w:val="bottom"/>
          </w:tcPr>
          <w:p>
            <w:pPr>
              <w:pStyle w:val="TableContents"/>
              <w:bidi w:val="0"/>
              <w:spacing w:before="0" w:after="0"/>
              <w:jc w:val="right"/>
              <w:rPr/>
            </w:pPr>
            <w:r>
              <w:rPr/>
              <w:t>6,204</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480" w:type="dxa"/>
            <w:gridSpan w:val="2"/>
            <w:tcBorders>
              <w:bottom w:val="single" w:sz="12" w:space="0" w:color="000000"/>
            </w:tcBorders>
            <w:vAlign w:val="bottom"/>
          </w:tcPr>
          <w:p>
            <w:pPr>
              <w:pStyle w:val="TableContents"/>
              <w:bidi w:val="0"/>
              <w:spacing w:before="0" w:after="283"/>
              <w:jc w:val="left"/>
              <w:rPr/>
            </w:pPr>
            <w:r>
              <w:rPr/>
              <w:t> </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480" w:type="dxa"/>
            <w:gridSpan w:val="2"/>
            <w:tcBorders>
              <w:bottom w:val="single" w:sz="12" w:space="0" w:color="000000"/>
            </w:tcBorders>
            <w:vAlign w:val="bottom"/>
          </w:tcPr>
          <w:p>
            <w:pPr>
              <w:pStyle w:val="TableContents"/>
              <w:bidi w:val="0"/>
              <w:spacing w:before="0" w:after="283"/>
              <w:jc w:val="left"/>
              <w:rPr/>
            </w:pPr>
            <w:r>
              <w:rPr/>
              <w:t> </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480" w:type="dxa"/>
            <w:gridSpan w:val="2"/>
            <w:tcBorders>
              <w:bottom w:val="single" w:sz="12" w:space="0" w:color="000000"/>
            </w:tcBorders>
            <w:vAlign w:val="bottom"/>
          </w:tcPr>
          <w:p>
            <w:pPr>
              <w:pStyle w:val="TableContents"/>
              <w:bidi w:val="0"/>
              <w:spacing w:before="0" w:after="283"/>
              <w:jc w:val="left"/>
              <w:rPr/>
            </w:pPr>
            <w:r>
              <w:rPr/>
              <w:t> </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480" w:type="dxa"/>
            <w:gridSpan w:val="2"/>
            <w:tcBorders>
              <w:bottom w:val="single" w:sz="12" w:space="0" w:color="000000"/>
            </w:tcBorders>
            <w:vAlign w:val="bottom"/>
          </w:tcPr>
          <w:p>
            <w:pPr>
              <w:pStyle w:val="TableContents"/>
              <w:bidi w:val="0"/>
              <w:spacing w:before="0" w:after="283"/>
              <w:jc w:val="left"/>
              <w:rPr/>
            </w:pPr>
            <w:r>
              <w:rPr/>
              <w:t> </w:t>
            </w:r>
          </w:p>
        </w:tc>
        <w:tc>
          <w:tcPr>
            <w:tcW w:w="15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77" w:type="dxa"/>
            <w:tcBorders>
              <w:bottom w:val="single" w:sz="12" w:space="0" w:color="000000"/>
            </w:tcBorders>
            <w:vAlign w:val="bottom"/>
          </w:tcPr>
          <w:p>
            <w:pPr>
              <w:pStyle w:val="TableContents"/>
              <w:bidi w:val="0"/>
              <w:spacing w:before="0" w:after="283"/>
              <w:jc w:val="left"/>
              <w:rPr/>
            </w:pPr>
            <w:r>
              <w:rPr/>
              <w:t> </w:t>
            </w:r>
          </w:p>
        </w:tc>
        <w:tc>
          <w:tcPr>
            <w:tcW w:w="1128" w:type="dxa"/>
            <w:tcBorders>
              <w:bottom w:val="single" w:sz="12" w:space="0" w:color="000000"/>
            </w:tcBorders>
            <w:vAlign w:val="bottom"/>
          </w:tcPr>
          <w:p>
            <w:pPr>
              <w:pStyle w:val="TableContents"/>
              <w:bidi w:val="0"/>
              <w:spacing w:before="0" w:after="0"/>
              <w:jc w:val="right"/>
              <w:rPr/>
            </w:pPr>
            <w:r>
              <w:rPr/>
              <w:t>6,204</w:t>
            </w:r>
          </w:p>
        </w:tc>
        <w:tc>
          <w:tcPr>
            <w:tcW w:w="95" w:type="dxa"/>
            <w:tcBorders/>
            <w:tcMar>
              <w:bottom w:w="0" w:type="dxa"/>
            </w:tcMar>
            <w:vAlign w:val="bottom"/>
          </w:tcPr>
          <w:p>
            <w:pPr>
              <w:pStyle w:val="TableContents"/>
              <w:bidi w:val="0"/>
              <w:spacing w:before="0" w:after="283"/>
              <w:jc w:val="left"/>
              <w:rPr/>
            </w:pPr>
            <w:r>
              <w:rPr/>
              <w:t> </w:t>
            </w:r>
          </w:p>
        </w:tc>
      </w:tr>
      <w:tr>
        <w:trPr/>
        <w:tc>
          <w:tcPr>
            <w:tcW w:w="6890" w:type="dxa"/>
            <w:tcBorders/>
            <w:shd w:fill="CCEEFF" w:val="clear"/>
            <w:tcMar>
              <w:bottom w:w="0" w:type="dxa"/>
            </w:tcMar>
            <w:vAlign w:val="bottom"/>
          </w:tcPr>
          <w:p>
            <w:pPr>
              <w:pStyle w:val="TableContents"/>
              <w:bidi w:val="0"/>
              <w:spacing w:before="0" w:after="0"/>
              <w:jc w:val="left"/>
              <w:rPr>
                <w:b/>
              </w:rPr>
            </w:pPr>
            <w:r>
              <w:rPr>
                <w:b/>
              </w:rPr>
              <w:t>Total current assets</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2266" w:type="dxa"/>
            <w:tcBorders/>
            <w:shd w:fill="CCEEFF" w:val="clear"/>
            <w:tcMar>
              <w:bottom w:w="0" w:type="dxa"/>
            </w:tcMar>
            <w:vAlign w:val="bottom"/>
          </w:tcPr>
          <w:p>
            <w:pPr>
              <w:pStyle w:val="TableContents"/>
              <w:bidi w:val="0"/>
              <w:spacing w:before="0" w:after="0"/>
              <w:jc w:val="right"/>
              <w:rPr>
                <w:b/>
              </w:rPr>
            </w:pPr>
            <w:r>
              <w:rPr>
                <w:b/>
              </w:rPr>
              <w:t>91,732</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5" w:type="dxa"/>
            <w:tcBorders/>
            <w:shd w:fill="CCEEFF" w:val="clear"/>
            <w:tcMar>
              <w:bottom w:w="0" w:type="dxa"/>
            </w:tcMar>
            <w:vAlign w:val="bottom"/>
          </w:tcPr>
          <w:p>
            <w:pPr>
              <w:pStyle w:val="TableContents"/>
              <w:bidi w:val="0"/>
              <w:spacing w:before="0" w:after="283"/>
              <w:jc w:val="left"/>
              <w:rPr/>
            </w:pPr>
            <w:r>
              <w:rPr/>
              <w:t> </w:t>
            </w:r>
          </w:p>
        </w:tc>
        <w:tc>
          <w:tcPr>
            <w:tcW w:w="1240" w:type="dxa"/>
            <w:tcBorders/>
            <w:shd w:fill="CCEEFF" w:val="clear"/>
            <w:tcMar>
              <w:bottom w:w="0" w:type="dxa"/>
            </w:tcMar>
            <w:vAlign w:val="bottom"/>
          </w:tcPr>
          <w:p>
            <w:pPr>
              <w:pStyle w:val="TableContents"/>
              <w:bidi w:val="0"/>
              <w:spacing w:before="0" w:after="0"/>
              <w:jc w:val="right"/>
              <w:rPr>
                <w:b/>
              </w:rPr>
            </w:pPr>
            <w:r>
              <w:rPr>
                <w:b/>
              </w:rPr>
              <w:t>37,762</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2027" w:type="dxa"/>
            <w:tcBorders/>
            <w:shd w:fill="CCEEFF" w:val="clear"/>
            <w:tcMar>
              <w:bottom w:w="0" w:type="dxa"/>
            </w:tcMar>
            <w:vAlign w:val="bottom"/>
          </w:tcPr>
          <w:p>
            <w:pPr>
              <w:pStyle w:val="TableContents"/>
              <w:bidi w:val="0"/>
              <w:spacing w:before="0" w:after="0"/>
              <w:jc w:val="right"/>
              <w:rPr>
                <w:b/>
              </w:rPr>
            </w:pPr>
            <w:r>
              <w:rPr>
                <w:b/>
              </w:rPr>
              <w:t>129,494</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0"/>
              <w:jc w:val="right"/>
              <w:rPr>
                <w:b/>
              </w:rPr>
            </w:pPr>
            <w:r>
              <w:rPr>
                <w:b/>
              </w:rPr>
              <w:t>-</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88" w:type="dxa"/>
            <w:tcBorders/>
            <w:shd w:fill="CCEEFF" w:val="clear"/>
            <w:tcMar>
              <w:bottom w:w="0" w:type="dxa"/>
            </w:tcMar>
            <w:vAlign w:val="bottom"/>
          </w:tcPr>
          <w:p>
            <w:pPr>
              <w:pStyle w:val="TableContents"/>
              <w:bidi w:val="0"/>
              <w:spacing w:before="0" w:after="283"/>
              <w:jc w:val="left"/>
              <w:rPr/>
            </w:pPr>
            <w:r>
              <w:rPr/>
              <w:t> </w:t>
            </w:r>
          </w:p>
        </w:tc>
        <w:tc>
          <w:tcPr>
            <w:tcW w:w="2192" w:type="dxa"/>
            <w:tcBorders/>
            <w:shd w:fill="CCEEFF" w:val="clear"/>
            <w:tcMar>
              <w:bottom w:w="0" w:type="dxa"/>
            </w:tcMar>
            <w:vAlign w:val="bottom"/>
          </w:tcPr>
          <w:p>
            <w:pPr>
              <w:pStyle w:val="TableContents"/>
              <w:bidi w:val="0"/>
              <w:spacing w:before="0" w:after="0"/>
              <w:jc w:val="right"/>
              <w:rPr>
                <w:b/>
              </w:rPr>
            </w:pPr>
            <w:r>
              <w:rPr>
                <w:b/>
              </w:rPr>
              <w:t>-</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2321" w:type="dxa"/>
            <w:tcBorders/>
            <w:shd w:fill="CCEEFF" w:val="clear"/>
            <w:tcMar>
              <w:bottom w:w="0" w:type="dxa"/>
            </w:tcMar>
            <w:vAlign w:val="bottom"/>
          </w:tcPr>
          <w:p>
            <w:pPr>
              <w:pStyle w:val="TableContents"/>
              <w:bidi w:val="0"/>
              <w:spacing w:before="0" w:after="0"/>
              <w:jc w:val="right"/>
              <w:rPr>
                <w:b/>
              </w:rPr>
            </w:pPr>
            <w:r>
              <w:rPr>
                <w:b/>
              </w:rPr>
              <w:t>-</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0"/>
              <w:jc w:val="right"/>
              <w:rPr>
                <w:b/>
              </w:rPr>
            </w:pPr>
            <w:r>
              <w:rPr>
                <w:b/>
              </w:rPr>
              <w:t>-</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7" w:type="dxa"/>
            <w:tcBorders/>
            <w:shd w:fill="CCEEFF" w:val="clear"/>
            <w:tcMar>
              <w:bottom w:w="0" w:type="dxa"/>
            </w:tcMar>
            <w:vAlign w:val="bottom"/>
          </w:tcPr>
          <w:p>
            <w:pPr>
              <w:pStyle w:val="TableContents"/>
              <w:bidi w:val="0"/>
              <w:spacing w:before="0" w:after="283"/>
              <w:jc w:val="left"/>
              <w:rPr/>
            </w:pPr>
            <w:r>
              <w:rPr/>
              <w:t> </w:t>
            </w:r>
          </w:p>
        </w:tc>
        <w:tc>
          <w:tcPr>
            <w:tcW w:w="1128" w:type="dxa"/>
            <w:tcBorders/>
            <w:shd w:fill="CCEEFF" w:val="clear"/>
            <w:tcMar>
              <w:bottom w:w="0" w:type="dxa"/>
            </w:tcMar>
            <w:vAlign w:val="bottom"/>
          </w:tcPr>
          <w:p>
            <w:pPr>
              <w:pStyle w:val="TableContents"/>
              <w:bidi w:val="0"/>
              <w:spacing w:before="0" w:after="0"/>
              <w:jc w:val="right"/>
              <w:rPr>
                <w:b/>
              </w:rPr>
            </w:pPr>
            <w:r>
              <w:rPr>
                <w:b/>
              </w:rPr>
              <w:t>129,494</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890" w:type="dxa"/>
            <w:tcBorders/>
            <w:tcMar>
              <w:bottom w:w="0" w:type="dxa"/>
            </w:tcMar>
            <w:vAlign w:val="bottom"/>
          </w:tcPr>
          <w:p>
            <w:pPr>
              <w:pStyle w:val="TableContents"/>
              <w:bidi w:val="0"/>
              <w:spacing w:before="0" w:after="0"/>
              <w:jc w:val="left"/>
              <w:rPr/>
            </w:pPr>
            <w:r>
              <w:rPr/>
              <w:t>Property and equipment, net</w:t>
            </w:r>
          </w:p>
        </w:tc>
        <w:tc>
          <w:tcPr>
            <w:tcW w:w="60" w:type="dxa"/>
            <w:tcBorders/>
            <w:tcMar>
              <w:bottom w:w="0" w:type="dxa"/>
            </w:tcMar>
            <w:vAlign w:val="bottom"/>
          </w:tcPr>
          <w:p>
            <w:pPr>
              <w:pStyle w:val="TableContents"/>
              <w:bidi w:val="0"/>
              <w:spacing w:before="0" w:after="283"/>
              <w:jc w:val="left"/>
              <w:rPr/>
            </w:pPr>
            <w:r>
              <w:rPr/>
              <w:t> </w:t>
            </w:r>
          </w:p>
        </w:tc>
        <w:tc>
          <w:tcPr>
            <w:tcW w:w="169" w:type="dxa"/>
            <w:tcBorders/>
            <w:tcMar>
              <w:bottom w:w="0" w:type="dxa"/>
            </w:tcMar>
            <w:vAlign w:val="bottom"/>
          </w:tcPr>
          <w:p>
            <w:pPr>
              <w:pStyle w:val="TableContents"/>
              <w:bidi w:val="0"/>
              <w:spacing w:before="0" w:after="283"/>
              <w:jc w:val="left"/>
              <w:rPr/>
            </w:pPr>
            <w:r>
              <w:rPr/>
              <w:t> </w:t>
            </w:r>
          </w:p>
        </w:tc>
        <w:tc>
          <w:tcPr>
            <w:tcW w:w="2266" w:type="dxa"/>
            <w:tcBorders/>
            <w:tcMar>
              <w:bottom w:w="0" w:type="dxa"/>
            </w:tcMar>
            <w:vAlign w:val="bottom"/>
          </w:tcPr>
          <w:p>
            <w:pPr>
              <w:pStyle w:val="TableContents"/>
              <w:bidi w:val="0"/>
              <w:spacing w:before="0" w:after="0"/>
              <w:jc w:val="right"/>
              <w:rPr/>
            </w:pPr>
            <w:r>
              <w:rPr/>
              <w:t>23,572</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5" w:type="dxa"/>
            <w:tcBorders/>
            <w:tcMar>
              <w:bottom w:w="0" w:type="dxa"/>
            </w:tcMar>
            <w:vAlign w:val="bottom"/>
          </w:tcPr>
          <w:p>
            <w:pPr>
              <w:pStyle w:val="TableContents"/>
              <w:bidi w:val="0"/>
              <w:spacing w:before="0" w:after="283"/>
              <w:jc w:val="left"/>
              <w:rPr/>
            </w:pPr>
            <w:r>
              <w:rPr/>
              <w:t> </w:t>
            </w:r>
          </w:p>
        </w:tc>
        <w:tc>
          <w:tcPr>
            <w:tcW w:w="1240" w:type="dxa"/>
            <w:tcBorders/>
            <w:tcMar>
              <w:bottom w:w="0" w:type="dxa"/>
            </w:tcMar>
            <w:vAlign w:val="bottom"/>
          </w:tcPr>
          <w:p>
            <w:pPr>
              <w:pStyle w:val="TableContents"/>
              <w:bidi w:val="0"/>
              <w:spacing w:before="0" w:after="0"/>
              <w:jc w:val="right"/>
              <w:rPr/>
            </w:pPr>
            <w:r>
              <w:rPr/>
              <w:t>3,879</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2027" w:type="dxa"/>
            <w:tcBorders/>
            <w:tcMar>
              <w:bottom w:w="0" w:type="dxa"/>
            </w:tcMar>
            <w:vAlign w:val="bottom"/>
          </w:tcPr>
          <w:p>
            <w:pPr>
              <w:pStyle w:val="TableContents"/>
              <w:bidi w:val="0"/>
              <w:spacing w:before="0" w:after="0"/>
              <w:jc w:val="right"/>
              <w:rPr/>
            </w:pPr>
            <w:r>
              <w:rPr/>
              <w:t>27,451</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88" w:type="dxa"/>
            <w:tcBorders/>
            <w:tcMar>
              <w:bottom w:w="0" w:type="dxa"/>
            </w:tcMar>
            <w:vAlign w:val="bottom"/>
          </w:tcPr>
          <w:p>
            <w:pPr>
              <w:pStyle w:val="TableContents"/>
              <w:bidi w:val="0"/>
              <w:spacing w:before="0" w:after="283"/>
              <w:jc w:val="left"/>
              <w:rPr/>
            </w:pPr>
            <w:r>
              <w:rPr/>
              <w:t> </w:t>
            </w:r>
          </w:p>
        </w:tc>
        <w:tc>
          <w:tcPr>
            <w:tcW w:w="2192"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2321"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7" w:type="dxa"/>
            <w:tcBorders/>
            <w:tcMar>
              <w:bottom w:w="0" w:type="dxa"/>
            </w:tcMar>
            <w:vAlign w:val="bottom"/>
          </w:tcPr>
          <w:p>
            <w:pPr>
              <w:pStyle w:val="TableContents"/>
              <w:bidi w:val="0"/>
              <w:spacing w:before="0" w:after="283"/>
              <w:jc w:val="left"/>
              <w:rPr/>
            </w:pPr>
            <w:r>
              <w:rPr/>
              <w:t> </w:t>
            </w:r>
          </w:p>
        </w:tc>
        <w:tc>
          <w:tcPr>
            <w:tcW w:w="1128" w:type="dxa"/>
            <w:tcBorders/>
            <w:tcMar>
              <w:bottom w:w="0" w:type="dxa"/>
            </w:tcMar>
            <w:vAlign w:val="bottom"/>
          </w:tcPr>
          <w:p>
            <w:pPr>
              <w:pStyle w:val="TableContents"/>
              <w:bidi w:val="0"/>
              <w:spacing w:before="0" w:after="0"/>
              <w:jc w:val="right"/>
              <w:rPr/>
            </w:pPr>
            <w:r>
              <w:rPr/>
              <w:t>27,451</w:t>
            </w:r>
          </w:p>
        </w:tc>
        <w:tc>
          <w:tcPr>
            <w:tcW w:w="95" w:type="dxa"/>
            <w:tcBorders/>
            <w:tcMar>
              <w:bottom w:w="0" w:type="dxa"/>
            </w:tcMar>
            <w:vAlign w:val="bottom"/>
          </w:tcPr>
          <w:p>
            <w:pPr>
              <w:pStyle w:val="TableContents"/>
              <w:bidi w:val="0"/>
              <w:spacing w:before="0" w:after="283"/>
              <w:jc w:val="left"/>
              <w:rPr/>
            </w:pPr>
            <w:r>
              <w:rPr/>
              <w:t> </w:t>
            </w:r>
          </w:p>
        </w:tc>
      </w:tr>
      <w:tr>
        <w:trPr/>
        <w:tc>
          <w:tcPr>
            <w:tcW w:w="6890" w:type="dxa"/>
            <w:tcBorders/>
            <w:shd w:fill="CCEEFF" w:val="clear"/>
            <w:tcMar>
              <w:bottom w:w="0" w:type="dxa"/>
            </w:tcMar>
            <w:vAlign w:val="bottom"/>
          </w:tcPr>
          <w:p>
            <w:pPr>
              <w:pStyle w:val="TableContents"/>
              <w:bidi w:val="0"/>
              <w:spacing w:before="0" w:after="0"/>
              <w:jc w:val="left"/>
              <w:rPr/>
            </w:pPr>
            <w:r>
              <w:rPr/>
              <w:t>Intangible assets, net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2266" w:type="dxa"/>
            <w:tcBorders/>
            <w:shd w:fill="CCEEFF" w:val="clear"/>
            <w:tcMar>
              <w:bottom w:w="0" w:type="dxa"/>
            </w:tcMar>
            <w:vAlign w:val="bottom"/>
          </w:tcPr>
          <w:p>
            <w:pPr>
              <w:pStyle w:val="TableContents"/>
              <w:bidi w:val="0"/>
              <w:spacing w:before="0" w:after="0"/>
              <w:jc w:val="right"/>
              <w:rPr/>
            </w:pPr>
            <w:r>
              <w:rPr/>
              <w:t>4,627</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5" w:type="dxa"/>
            <w:tcBorders/>
            <w:shd w:fill="CCEEFF" w:val="clear"/>
            <w:tcMar>
              <w:bottom w:w="0" w:type="dxa"/>
            </w:tcMar>
            <w:vAlign w:val="bottom"/>
          </w:tcPr>
          <w:p>
            <w:pPr>
              <w:pStyle w:val="TableContents"/>
              <w:bidi w:val="0"/>
              <w:spacing w:before="0" w:after="283"/>
              <w:jc w:val="left"/>
              <w:rPr/>
            </w:pPr>
            <w:r>
              <w:rPr/>
              <w:t> </w:t>
            </w:r>
          </w:p>
        </w:tc>
        <w:tc>
          <w:tcPr>
            <w:tcW w:w="1240" w:type="dxa"/>
            <w:tcBorders/>
            <w:shd w:fill="CCEEFF" w:val="clear"/>
            <w:tcMar>
              <w:bottom w:w="0" w:type="dxa"/>
            </w:tcMar>
            <w:vAlign w:val="bottom"/>
          </w:tcPr>
          <w:p>
            <w:pPr>
              <w:pStyle w:val="TableContents"/>
              <w:bidi w:val="0"/>
              <w:spacing w:before="0" w:after="0"/>
              <w:jc w:val="right"/>
              <w:rPr/>
            </w:pPr>
            <w:r>
              <w:rPr/>
              <w:t>8</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2027" w:type="dxa"/>
            <w:tcBorders/>
            <w:shd w:fill="CCEEFF" w:val="clear"/>
            <w:tcMar>
              <w:bottom w:w="0" w:type="dxa"/>
            </w:tcMar>
            <w:vAlign w:val="bottom"/>
          </w:tcPr>
          <w:p>
            <w:pPr>
              <w:pStyle w:val="TableContents"/>
              <w:bidi w:val="0"/>
              <w:spacing w:before="0" w:after="0"/>
              <w:jc w:val="right"/>
              <w:rPr/>
            </w:pPr>
            <w:r>
              <w:rPr/>
              <w:t>4,635</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88" w:type="dxa"/>
            <w:tcBorders/>
            <w:shd w:fill="CCEEFF" w:val="clear"/>
            <w:tcMar>
              <w:bottom w:w="0" w:type="dxa"/>
            </w:tcMar>
            <w:vAlign w:val="bottom"/>
          </w:tcPr>
          <w:p>
            <w:pPr>
              <w:pStyle w:val="TableContents"/>
              <w:bidi w:val="0"/>
              <w:spacing w:before="0" w:after="283"/>
              <w:jc w:val="left"/>
              <w:rPr/>
            </w:pPr>
            <w:r>
              <w:rPr/>
              <w:t> </w:t>
            </w:r>
          </w:p>
        </w:tc>
        <w:tc>
          <w:tcPr>
            <w:tcW w:w="2192"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2321"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283"/>
              <w:jc w:val="righ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7" w:type="dxa"/>
            <w:tcBorders/>
            <w:shd w:fill="CCEEFF" w:val="clear"/>
            <w:tcMar>
              <w:bottom w:w="0" w:type="dxa"/>
            </w:tcMar>
            <w:vAlign w:val="bottom"/>
          </w:tcPr>
          <w:p>
            <w:pPr>
              <w:pStyle w:val="TableContents"/>
              <w:bidi w:val="0"/>
              <w:spacing w:before="0" w:after="283"/>
              <w:jc w:val="left"/>
              <w:rPr/>
            </w:pPr>
            <w:r>
              <w:rPr/>
              <w:t> </w:t>
            </w:r>
          </w:p>
        </w:tc>
        <w:tc>
          <w:tcPr>
            <w:tcW w:w="1128" w:type="dxa"/>
            <w:tcBorders/>
            <w:shd w:fill="CCEEFF" w:val="clear"/>
            <w:tcMar>
              <w:bottom w:w="0" w:type="dxa"/>
            </w:tcMar>
            <w:vAlign w:val="bottom"/>
          </w:tcPr>
          <w:p>
            <w:pPr>
              <w:pStyle w:val="TableContents"/>
              <w:bidi w:val="0"/>
              <w:spacing w:before="0" w:after="0"/>
              <w:jc w:val="right"/>
              <w:rPr/>
            </w:pPr>
            <w:r>
              <w:rPr/>
              <w:t>4,635</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890" w:type="dxa"/>
            <w:tcBorders/>
            <w:tcMar>
              <w:bottom w:w="0" w:type="dxa"/>
            </w:tcMar>
            <w:vAlign w:val="bottom"/>
          </w:tcPr>
          <w:p>
            <w:pPr>
              <w:pStyle w:val="TableContents"/>
              <w:bidi w:val="0"/>
              <w:spacing w:before="0" w:after="0"/>
              <w:jc w:val="left"/>
              <w:rPr/>
            </w:pPr>
            <w:r>
              <w:rPr/>
              <w:t>Deferred tax assets</w:t>
            </w:r>
          </w:p>
        </w:tc>
        <w:tc>
          <w:tcPr>
            <w:tcW w:w="60" w:type="dxa"/>
            <w:tcBorders/>
            <w:tcMar>
              <w:bottom w:w="0" w:type="dxa"/>
            </w:tcMar>
            <w:vAlign w:val="bottom"/>
          </w:tcPr>
          <w:p>
            <w:pPr>
              <w:pStyle w:val="TableContents"/>
              <w:bidi w:val="0"/>
              <w:spacing w:before="0" w:after="283"/>
              <w:jc w:val="left"/>
              <w:rPr/>
            </w:pPr>
            <w:r>
              <w:rPr/>
              <w:t> </w:t>
            </w:r>
          </w:p>
        </w:tc>
        <w:tc>
          <w:tcPr>
            <w:tcW w:w="169" w:type="dxa"/>
            <w:tcBorders/>
            <w:tcMar>
              <w:bottom w:w="0" w:type="dxa"/>
            </w:tcMar>
            <w:vAlign w:val="bottom"/>
          </w:tcPr>
          <w:p>
            <w:pPr>
              <w:pStyle w:val="TableContents"/>
              <w:bidi w:val="0"/>
              <w:spacing w:before="0" w:after="283"/>
              <w:jc w:val="left"/>
              <w:rPr/>
            </w:pPr>
            <w:r>
              <w:rPr/>
              <w:t> </w:t>
            </w:r>
          </w:p>
        </w:tc>
        <w:tc>
          <w:tcPr>
            <w:tcW w:w="2266" w:type="dxa"/>
            <w:tcBorders/>
            <w:tcMar>
              <w:bottom w:w="0" w:type="dxa"/>
            </w:tcMar>
            <w:vAlign w:val="bottom"/>
          </w:tcPr>
          <w:p>
            <w:pPr>
              <w:pStyle w:val="TableContents"/>
              <w:bidi w:val="0"/>
              <w:spacing w:before="0" w:after="0"/>
              <w:jc w:val="right"/>
              <w:rPr/>
            </w:pPr>
            <w:r>
              <w:rPr/>
              <w:t>7,723</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5" w:type="dxa"/>
            <w:tcBorders/>
            <w:tcMar>
              <w:bottom w:w="0" w:type="dxa"/>
            </w:tcMar>
            <w:vAlign w:val="bottom"/>
          </w:tcPr>
          <w:p>
            <w:pPr>
              <w:pStyle w:val="TableContents"/>
              <w:bidi w:val="0"/>
              <w:spacing w:before="0" w:after="283"/>
              <w:jc w:val="left"/>
              <w:rPr/>
            </w:pPr>
            <w:r>
              <w:rPr/>
              <w:t> </w:t>
            </w:r>
          </w:p>
        </w:tc>
        <w:tc>
          <w:tcPr>
            <w:tcW w:w="1240" w:type="dxa"/>
            <w:tcBorders/>
            <w:tcMar>
              <w:bottom w:w="0" w:type="dxa"/>
            </w:tcMar>
            <w:vAlign w:val="bottom"/>
          </w:tcPr>
          <w:p>
            <w:pPr>
              <w:pStyle w:val="TableContents"/>
              <w:bidi w:val="0"/>
              <w:spacing w:before="0" w:after="0"/>
              <w:jc w:val="right"/>
              <w:rPr/>
            </w:pPr>
            <w:r>
              <w:rPr/>
              <w:t>-</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2027" w:type="dxa"/>
            <w:tcBorders/>
            <w:tcMar>
              <w:bottom w:w="0" w:type="dxa"/>
            </w:tcMar>
            <w:vAlign w:val="bottom"/>
          </w:tcPr>
          <w:p>
            <w:pPr>
              <w:pStyle w:val="TableContents"/>
              <w:bidi w:val="0"/>
              <w:spacing w:before="0" w:after="0"/>
              <w:jc w:val="right"/>
              <w:rPr/>
            </w:pPr>
            <w:r>
              <w:rPr/>
              <w:t>7,723</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88" w:type="dxa"/>
            <w:tcBorders/>
            <w:tcMar>
              <w:bottom w:w="0" w:type="dxa"/>
            </w:tcMar>
            <w:vAlign w:val="bottom"/>
          </w:tcPr>
          <w:p>
            <w:pPr>
              <w:pStyle w:val="TableContents"/>
              <w:bidi w:val="0"/>
              <w:spacing w:before="0" w:after="283"/>
              <w:jc w:val="left"/>
              <w:rPr/>
            </w:pPr>
            <w:r>
              <w:rPr/>
              <w:t> </w:t>
            </w:r>
          </w:p>
        </w:tc>
        <w:tc>
          <w:tcPr>
            <w:tcW w:w="2192"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2321"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7" w:type="dxa"/>
            <w:tcBorders/>
            <w:tcMar>
              <w:bottom w:w="0" w:type="dxa"/>
            </w:tcMar>
            <w:vAlign w:val="bottom"/>
          </w:tcPr>
          <w:p>
            <w:pPr>
              <w:pStyle w:val="TableContents"/>
              <w:bidi w:val="0"/>
              <w:spacing w:before="0" w:after="283"/>
              <w:jc w:val="left"/>
              <w:rPr/>
            </w:pPr>
            <w:r>
              <w:rPr/>
              <w:t> </w:t>
            </w:r>
          </w:p>
        </w:tc>
        <w:tc>
          <w:tcPr>
            <w:tcW w:w="1128" w:type="dxa"/>
            <w:tcBorders/>
            <w:tcMar>
              <w:bottom w:w="0" w:type="dxa"/>
            </w:tcMar>
            <w:vAlign w:val="bottom"/>
          </w:tcPr>
          <w:p>
            <w:pPr>
              <w:pStyle w:val="TableContents"/>
              <w:bidi w:val="0"/>
              <w:spacing w:before="0" w:after="0"/>
              <w:jc w:val="right"/>
              <w:rPr/>
            </w:pPr>
            <w:r>
              <w:rPr/>
              <w:t>7,723</w:t>
            </w:r>
          </w:p>
        </w:tc>
        <w:tc>
          <w:tcPr>
            <w:tcW w:w="95" w:type="dxa"/>
            <w:tcBorders/>
            <w:tcMar>
              <w:bottom w:w="0" w:type="dxa"/>
            </w:tcMar>
            <w:vAlign w:val="bottom"/>
          </w:tcPr>
          <w:p>
            <w:pPr>
              <w:pStyle w:val="TableContents"/>
              <w:bidi w:val="0"/>
              <w:spacing w:before="0" w:after="283"/>
              <w:jc w:val="left"/>
              <w:rPr/>
            </w:pPr>
            <w:r>
              <w:rPr/>
              <w:t> </w:t>
            </w:r>
          </w:p>
        </w:tc>
      </w:tr>
      <w:tr>
        <w:trPr/>
        <w:tc>
          <w:tcPr>
            <w:tcW w:w="6890" w:type="dxa"/>
            <w:tcBorders/>
            <w:shd w:fill="CCEEFF" w:val="clear"/>
            <w:tcMar>
              <w:bottom w:w="0" w:type="dxa"/>
            </w:tcMar>
            <w:vAlign w:val="bottom"/>
          </w:tcPr>
          <w:p>
            <w:pPr>
              <w:pStyle w:val="TableContents"/>
              <w:bidi w:val="0"/>
              <w:spacing w:before="0" w:after="0"/>
              <w:jc w:val="left"/>
              <w:rPr/>
            </w:pPr>
            <w:r>
              <w:rPr/>
              <w:t>Long-term certificates of deposit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2266" w:type="dxa"/>
            <w:tcBorders/>
            <w:shd w:fill="CCEEFF" w:val="clear"/>
            <w:tcMar>
              <w:bottom w:w="0" w:type="dxa"/>
            </w:tcMar>
            <w:vAlign w:val="bottom"/>
          </w:tcPr>
          <w:p>
            <w:pPr>
              <w:pStyle w:val="TableContents"/>
              <w:bidi w:val="0"/>
              <w:spacing w:before="0" w:after="0"/>
              <w:jc w:val="right"/>
              <w:rPr/>
            </w:pPr>
            <w:r>
              <w:rPr/>
              <w:t>29,419</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5" w:type="dxa"/>
            <w:tcBorders/>
            <w:shd w:fill="CCEEFF" w:val="clear"/>
            <w:tcMar>
              <w:bottom w:w="0" w:type="dxa"/>
            </w:tcMar>
            <w:vAlign w:val="bottom"/>
          </w:tcPr>
          <w:p>
            <w:pPr>
              <w:pStyle w:val="TableContents"/>
              <w:bidi w:val="0"/>
              <w:spacing w:before="0" w:after="283"/>
              <w:jc w:val="left"/>
              <w:rPr/>
            </w:pPr>
            <w:r>
              <w:rPr/>
              <w:t> </w:t>
            </w:r>
          </w:p>
        </w:tc>
        <w:tc>
          <w:tcPr>
            <w:tcW w:w="1240" w:type="dxa"/>
            <w:tcBorders/>
            <w:shd w:fill="CCEEFF" w:val="clear"/>
            <w:tcMar>
              <w:bottom w:w="0" w:type="dxa"/>
            </w:tcMar>
            <w:vAlign w:val="bottom"/>
          </w:tcPr>
          <w:p>
            <w:pPr>
              <w:pStyle w:val="TableContents"/>
              <w:bidi w:val="0"/>
              <w:spacing w:before="0" w:after="0"/>
              <w:jc w:val="right"/>
              <w:rPr/>
            </w:pPr>
            <w:r>
              <w:rPr/>
              <w:t>-</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2027" w:type="dxa"/>
            <w:tcBorders/>
            <w:shd w:fill="CCEEFF" w:val="clear"/>
            <w:tcMar>
              <w:bottom w:w="0" w:type="dxa"/>
            </w:tcMar>
            <w:vAlign w:val="bottom"/>
          </w:tcPr>
          <w:p>
            <w:pPr>
              <w:pStyle w:val="TableContents"/>
              <w:bidi w:val="0"/>
              <w:spacing w:before="0" w:after="0"/>
              <w:jc w:val="right"/>
              <w:rPr/>
            </w:pPr>
            <w:r>
              <w:rPr/>
              <w:t>29,419</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88" w:type="dxa"/>
            <w:tcBorders/>
            <w:shd w:fill="CCEEFF" w:val="clear"/>
            <w:tcMar>
              <w:bottom w:w="0" w:type="dxa"/>
            </w:tcMar>
            <w:vAlign w:val="bottom"/>
          </w:tcPr>
          <w:p>
            <w:pPr>
              <w:pStyle w:val="TableContents"/>
              <w:bidi w:val="0"/>
              <w:spacing w:before="0" w:after="283"/>
              <w:jc w:val="left"/>
              <w:rPr/>
            </w:pPr>
            <w:r>
              <w:rPr/>
              <w:t> </w:t>
            </w:r>
          </w:p>
        </w:tc>
        <w:tc>
          <w:tcPr>
            <w:tcW w:w="2192"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2321"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283"/>
              <w:jc w:val="righ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7" w:type="dxa"/>
            <w:tcBorders/>
            <w:shd w:fill="CCEEFF" w:val="clear"/>
            <w:tcMar>
              <w:bottom w:w="0" w:type="dxa"/>
            </w:tcMar>
            <w:vAlign w:val="bottom"/>
          </w:tcPr>
          <w:p>
            <w:pPr>
              <w:pStyle w:val="TableContents"/>
              <w:bidi w:val="0"/>
              <w:spacing w:before="0" w:after="283"/>
              <w:jc w:val="left"/>
              <w:rPr/>
            </w:pPr>
            <w:r>
              <w:rPr/>
              <w:t> </w:t>
            </w:r>
          </w:p>
        </w:tc>
        <w:tc>
          <w:tcPr>
            <w:tcW w:w="1128" w:type="dxa"/>
            <w:tcBorders/>
            <w:shd w:fill="CCEEFF" w:val="clear"/>
            <w:tcMar>
              <w:bottom w:w="0" w:type="dxa"/>
            </w:tcMar>
            <w:vAlign w:val="bottom"/>
          </w:tcPr>
          <w:p>
            <w:pPr>
              <w:pStyle w:val="TableContents"/>
              <w:bidi w:val="0"/>
              <w:spacing w:before="0" w:after="0"/>
              <w:jc w:val="right"/>
              <w:rPr/>
            </w:pPr>
            <w:r>
              <w:rPr/>
              <w:t>29,419</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890" w:type="dxa"/>
            <w:tcBorders>
              <w:bottom w:val="single" w:sz="12" w:space="0" w:color="000000"/>
            </w:tcBorders>
            <w:vAlign w:val="bottom"/>
          </w:tcPr>
          <w:p>
            <w:pPr>
              <w:pStyle w:val="TableContents"/>
              <w:bidi w:val="0"/>
              <w:spacing w:before="0" w:after="0"/>
              <w:jc w:val="left"/>
              <w:rPr/>
            </w:pPr>
            <w:r>
              <w:rPr/>
              <w:t>Other assets, noncurrent</w:t>
            </w:r>
          </w:p>
        </w:tc>
        <w:tc>
          <w:tcPr>
            <w:tcW w:w="60" w:type="dxa"/>
            <w:tcBorders>
              <w:bottom w:val="single" w:sz="12" w:space="0" w:color="000000"/>
            </w:tcBorders>
            <w:vAlign w:val="bottom"/>
          </w:tcPr>
          <w:p>
            <w:pPr>
              <w:pStyle w:val="TableContents"/>
              <w:bidi w:val="0"/>
              <w:spacing w:before="0" w:after="283"/>
              <w:jc w:val="left"/>
              <w:rPr/>
            </w:pPr>
            <w:r>
              <w:rPr/>
              <w:t> </w:t>
            </w:r>
          </w:p>
        </w:tc>
        <w:tc>
          <w:tcPr>
            <w:tcW w:w="169" w:type="dxa"/>
            <w:tcBorders>
              <w:bottom w:val="single" w:sz="12" w:space="0" w:color="000000"/>
            </w:tcBorders>
            <w:vAlign w:val="bottom"/>
          </w:tcPr>
          <w:p>
            <w:pPr>
              <w:pStyle w:val="TableContents"/>
              <w:bidi w:val="0"/>
              <w:spacing w:before="0" w:after="283"/>
              <w:jc w:val="left"/>
              <w:rPr/>
            </w:pPr>
            <w:r>
              <w:rPr/>
              <w:t> </w:t>
            </w:r>
          </w:p>
        </w:tc>
        <w:tc>
          <w:tcPr>
            <w:tcW w:w="2266" w:type="dxa"/>
            <w:tcBorders>
              <w:bottom w:val="single" w:sz="12" w:space="0" w:color="000000"/>
            </w:tcBorders>
            <w:vAlign w:val="bottom"/>
          </w:tcPr>
          <w:p>
            <w:pPr>
              <w:pStyle w:val="TableContents"/>
              <w:bidi w:val="0"/>
              <w:spacing w:before="0" w:after="0"/>
              <w:jc w:val="right"/>
              <w:rPr/>
            </w:pPr>
            <w:r>
              <w:rPr/>
              <w:t>4,942</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85" w:type="dxa"/>
            <w:tcBorders>
              <w:bottom w:val="single" w:sz="12" w:space="0" w:color="000000"/>
            </w:tcBorders>
            <w:vAlign w:val="bottom"/>
          </w:tcPr>
          <w:p>
            <w:pPr>
              <w:pStyle w:val="TableContents"/>
              <w:bidi w:val="0"/>
              <w:spacing w:before="0" w:after="283"/>
              <w:jc w:val="left"/>
              <w:rPr/>
            </w:pPr>
            <w:r>
              <w:rPr/>
              <w:t> </w:t>
            </w:r>
          </w:p>
        </w:tc>
        <w:tc>
          <w:tcPr>
            <w:tcW w:w="1240" w:type="dxa"/>
            <w:tcBorders>
              <w:bottom w:val="single" w:sz="12" w:space="0" w:color="000000"/>
            </w:tcBorders>
            <w:vAlign w:val="bottom"/>
          </w:tcPr>
          <w:p>
            <w:pPr>
              <w:pStyle w:val="TableContents"/>
              <w:bidi w:val="0"/>
              <w:spacing w:before="0" w:after="0"/>
              <w:jc w:val="right"/>
              <w:rPr/>
            </w:pPr>
            <w:r>
              <w:rPr/>
              <w:t>2,903</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38" w:type="dxa"/>
            <w:tcBorders>
              <w:bottom w:val="single" w:sz="12" w:space="0" w:color="000000"/>
            </w:tcBorders>
            <w:vAlign w:val="bottom"/>
          </w:tcPr>
          <w:p>
            <w:pPr>
              <w:pStyle w:val="TableContents"/>
              <w:bidi w:val="0"/>
              <w:spacing w:before="0" w:after="283"/>
              <w:jc w:val="left"/>
              <w:rPr/>
            </w:pPr>
            <w:r>
              <w:rPr/>
              <w:t> </w:t>
            </w:r>
          </w:p>
        </w:tc>
        <w:tc>
          <w:tcPr>
            <w:tcW w:w="2027" w:type="dxa"/>
            <w:tcBorders>
              <w:bottom w:val="single" w:sz="12" w:space="0" w:color="000000"/>
            </w:tcBorders>
            <w:vAlign w:val="bottom"/>
          </w:tcPr>
          <w:p>
            <w:pPr>
              <w:pStyle w:val="TableContents"/>
              <w:bidi w:val="0"/>
              <w:spacing w:before="0" w:after="0"/>
              <w:jc w:val="right"/>
              <w:rPr/>
            </w:pPr>
            <w:r>
              <w:rPr/>
              <w:t>7,845</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82" w:type="dxa"/>
            <w:tcBorders>
              <w:bottom w:val="single" w:sz="12" w:space="0" w:color="000000"/>
            </w:tcBorders>
            <w:vAlign w:val="bottom"/>
          </w:tcPr>
          <w:p>
            <w:pPr>
              <w:pStyle w:val="TableContents"/>
              <w:bidi w:val="0"/>
              <w:spacing w:before="0" w:after="283"/>
              <w:jc w:val="left"/>
              <w:rPr/>
            </w:pPr>
            <w:r>
              <w:rPr/>
              <w:t> </w:t>
            </w:r>
          </w:p>
        </w:tc>
        <w:tc>
          <w:tcPr>
            <w:tcW w:w="2298" w:type="dxa"/>
            <w:tcBorders>
              <w:bottom w:val="single" w:sz="12" w:space="0" w:color="000000"/>
            </w:tcBorders>
            <w:vAlign w:val="bottom"/>
          </w:tcPr>
          <w:p>
            <w:pPr>
              <w:pStyle w:val="TableContents"/>
              <w:bidi w:val="0"/>
              <w:spacing w:before="0" w:after="283"/>
              <w:jc w:val="right"/>
              <w:rPr/>
            </w:pPr>
            <w:r>
              <w:rPr/>
              <w:t> </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88" w:type="dxa"/>
            <w:tcBorders>
              <w:bottom w:val="single" w:sz="12" w:space="0" w:color="000000"/>
            </w:tcBorders>
            <w:vAlign w:val="bottom"/>
          </w:tcPr>
          <w:p>
            <w:pPr>
              <w:pStyle w:val="TableContents"/>
              <w:bidi w:val="0"/>
              <w:spacing w:before="0" w:after="283"/>
              <w:jc w:val="left"/>
              <w:rPr/>
            </w:pPr>
            <w:r>
              <w:rPr/>
              <w:t> </w:t>
            </w:r>
          </w:p>
        </w:tc>
        <w:tc>
          <w:tcPr>
            <w:tcW w:w="2192" w:type="dxa"/>
            <w:tcBorders>
              <w:bottom w:val="single" w:sz="12" w:space="0" w:color="000000"/>
            </w:tcBorders>
            <w:vAlign w:val="bottom"/>
          </w:tcPr>
          <w:p>
            <w:pPr>
              <w:pStyle w:val="TableContents"/>
              <w:bidi w:val="0"/>
              <w:spacing w:before="0" w:after="283"/>
              <w:jc w:val="right"/>
              <w:rPr/>
            </w:pPr>
            <w:r>
              <w:rPr/>
              <w:t> </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59" w:type="dxa"/>
            <w:tcBorders>
              <w:bottom w:val="single" w:sz="12" w:space="0" w:color="000000"/>
            </w:tcBorders>
            <w:vAlign w:val="bottom"/>
          </w:tcPr>
          <w:p>
            <w:pPr>
              <w:pStyle w:val="TableContents"/>
              <w:bidi w:val="0"/>
              <w:spacing w:before="0" w:after="283"/>
              <w:jc w:val="left"/>
              <w:rPr/>
            </w:pPr>
            <w:r>
              <w:rPr/>
              <w:t> </w:t>
            </w:r>
          </w:p>
        </w:tc>
        <w:tc>
          <w:tcPr>
            <w:tcW w:w="2321" w:type="dxa"/>
            <w:tcBorders>
              <w:bottom w:val="single" w:sz="12" w:space="0" w:color="000000"/>
            </w:tcBorders>
            <w:vAlign w:val="bottom"/>
          </w:tcPr>
          <w:p>
            <w:pPr>
              <w:pStyle w:val="TableContents"/>
              <w:bidi w:val="0"/>
              <w:spacing w:before="0" w:after="283"/>
              <w:jc w:val="right"/>
              <w:rPr/>
            </w:pPr>
            <w:r>
              <w:rPr/>
              <w:t> </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82" w:type="dxa"/>
            <w:tcBorders>
              <w:bottom w:val="single" w:sz="12" w:space="0" w:color="000000"/>
            </w:tcBorders>
            <w:vAlign w:val="bottom"/>
          </w:tcPr>
          <w:p>
            <w:pPr>
              <w:pStyle w:val="TableContents"/>
              <w:bidi w:val="0"/>
              <w:spacing w:before="0" w:after="283"/>
              <w:jc w:val="left"/>
              <w:rPr/>
            </w:pPr>
            <w:r>
              <w:rPr/>
              <w:t> </w:t>
            </w:r>
          </w:p>
        </w:tc>
        <w:tc>
          <w:tcPr>
            <w:tcW w:w="2298" w:type="dxa"/>
            <w:tcBorders>
              <w:bottom w:val="single" w:sz="12" w:space="0" w:color="000000"/>
            </w:tcBorders>
            <w:vAlign w:val="bottom"/>
          </w:tcPr>
          <w:p>
            <w:pPr>
              <w:pStyle w:val="TableContents"/>
              <w:bidi w:val="0"/>
              <w:spacing w:before="0" w:after="283"/>
              <w:jc w:val="right"/>
              <w:rPr/>
            </w:pPr>
            <w:r>
              <w:rPr/>
              <w:t> </w:t>
            </w:r>
          </w:p>
        </w:tc>
        <w:tc>
          <w:tcPr>
            <w:tcW w:w="15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77" w:type="dxa"/>
            <w:tcBorders>
              <w:bottom w:val="single" w:sz="12" w:space="0" w:color="000000"/>
            </w:tcBorders>
            <w:vAlign w:val="bottom"/>
          </w:tcPr>
          <w:p>
            <w:pPr>
              <w:pStyle w:val="TableContents"/>
              <w:bidi w:val="0"/>
              <w:spacing w:before="0" w:after="283"/>
              <w:jc w:val="left"/>
              <w:rPr/>
            </w:pPr>
            <w:r>
              <w:rPr/>
              <w:t> </w:t>
            </w:r>
          </w:p>
        </w:tc>
        <w:tc>
          <w:tcPr>
            <w:tcW w:w="1128" w:type="dxa"/>
            <w:tcBorders>
              <w:bottom w:val="single" w:sz="12" w:space="0" w:color="000000"/>
            </w:tcBorders>
            <w:vAlign w:val="bottom"/>
          </w:tcPr>
          <w:p>
            <w:pPr>
              <w:pStyle w:val="TableContents"/>
              <w:bidi w:val="0"/>
              <w:spacing w:before="0" w:after="0"/>
              <w:jc w:val="right"/>
              <w:rPr/>
            </w:pPr>
            <w:r>
              <w:rPr/>
              <w:t>7,845</w:t>
            </w:r>
          </w:p>
        </w:tc>
        <w:tc>
          <w:tcPr>
            <w:tcW w:w="95" w:type="dxa"/>
            <w:tcBorders/>
            <w:tcMar>
              <w:bottom w:w="0" w:type="dxa"/>
            </w:tcMar>
            <w:vAlign w:val="bottom"/>
          </w:tcPr>
          <w:p>
            <w:pPr>
              <w:pStyle w:val="TableContents"/>
              <w:bidi w:val="0"/>
              <w:spacing w:before="0" w:after="283"/>
              <w:jc w:val="left"/>
              <w:rPr/>
            </w:pPr>
            <w:r>
              <w:rPr/>
              <w:t> </w:t>
            </w:r>
          </w:p>
        </w:tc>
      </w:tr>
      <w:tr>
        <w:trPr/>
        <w:tc>
          <w:tcPr>
            <w:tcW w:w="6890" w:type="dxa"/>
            <w:tcBorders>
              <w:bottom w:val="double" w:sz="8" w:space="0" w:color="000000"/>
            </w:tcBorders>
            <w:shd w:fill="CCEEFF" w:val="clear"/>
            <w:vAlign w:val="bottom"/>
          </w:tcPr>
          <w:p>
            <w:pPr>
              <w:pStyle w:val="TableContents"/>
              <w:bidi w:val="0"/>
              <w:spacing w:before="0" w:after="0"/>
              <w:jc w:val="left"/>
              <w:rPr>
                <w:b/>
              </w:rPr>
            </w:pPr>
            <w:r>
              <w:rPr>
                <w:b/>
              </w:rPr>
              <w:t>Total assets</w:t>
            </w:r>
          </w:p>
        </w:tc>
        <w:tc>
          <w:tcPr>
            <w:tcW w:w="60" w:type="dxa"/>
            <w:tcBorders>
              <w:bottom w:val="double" w:sz="8" w:space="0" w:color="000000"/>
            </w:tcBorders>
            <w:shd w:fill="CCEEFF" w:val="clear"/>
            <w:vAlign w:val="bottom"/>
          </w:tcPr>
          <w:p>
            <w:pPr>
              <w:pStyle w:val="TableContents"/>
              <w:bidi w:val="0"/>
              <w:spacing w:before="0" w:after="283"/>
              <w:jc w:val="left"/>
              <w:rPr/>
            </w:pPr>
            <w:r>
              <w:rPr/>
              <w:t> </w:t>
            </w:r>
          </w:p>
        </w:tc>
        <w:tc>
          <w:tcPr>
            <w:tcW w:w="169" w:type="dxa"/>
            <w:tcBorders>
              <w:bottom w:val="double" w:sz="8" w:space="0" w:color="000000"/>
            </w:tcBorders>
            <w:shd w:fill="CCEEFF" w:val="clear"/>
            <w:vAlign w:val="bottom"/>
          </w:tcPr>
          <w:p>
            <w:pPr>
              <w:pStyle w:val="TableContents"/>
              <w:bidi w:val="0"/>
              <w:spacing w:before="0" w:after="283"/>
              <w:jc w:val="left"/>
              <w:rPr/>
            </w:pPr>
            <w:r>
              <w:rPr/>
              <w:t> </w:t>
            </w:r>
          </w:p>
        </w:tc>
        <w:tc>
          <w:tcPr>
            <w:tcW w:w="2266" w:type="dxa"/>
            <w:tcBorders>
              <w:bottom w:val="double" w:sz="8" w:space="0" w:color="000000"/>
            </w:tcBorders>
            <w:shd w:fill="CCEEFF" w:val="clear"/>
            <w:vAlign w:val="bottom"/>
          </w:tcPr>
          <w:p>
            <w:pPr>
              <w:pStyle w:val="TableContents"/>
              <w:bidi w:val="0"/>
              <w:spacing w:before="0" w:after="0"/>
              <w:jc w:val="right"/>
              <w:rPr>
                <w:b/>
              </w:rPr>
            </w:pPr>
            <w:r>
              <w:rPr>
                <w:b/>
              </w:rPr>
              <w:t>162,015</w:t>
            </w:r>
          </w:p>
        </w:tc>
        <w:tc>
          <w:tcPr>
            <w:tcW w:w="95" w:type="dxa"/>
            <w:tcBorders>
              <w:bottom w:val="double" w:sz="8" w:space="0" w:color="000000"/>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vAlign w:val="bottom"/>
          </w:tcPr>
          <w:p>
            <w:pPr>
              <w:pStyle w:val="TableContents"/>
              <w:bidi w:val="0"/>
              <w:spacing w:before="0" w:after="283"/>
              <w:jc w:val="left"/>
              <w:rPr/>
            </w:pPr>
            <w:r>
              <w:rPr/>
              <w:t> </w:t>
            </w:r>
          </w:p>
        </w:tc>
        <w:tc>
          <w:tcPr>
            <w:tcW w:w="85" w:type="dxa"/>
            <w:tcBorders>
              <w:bottom w:val="double" w:sz="8" w:space="0" w:color="000000"/>
            </w:tcBorders>
            <w:shd w:fill="CCEEFF" w:val="clear"/>
            <w:vAlign w:val="bottom"/>
          </w:tcPr>
          <w:p>
            <w:pPr>
              <w:pStyle w:val="TableContents"/>
              <w:bidi w:val="0"/>
              <w:spacing w:before="0" w:after="283"/>
              <w:jc w:val="left"/>
              <w:rPr/>
            </w:pPr>
            <w:r>
              <w:rPr/>
              <w:t> </w:t>
            </w:r>
          </w:p>
        </w:tc>
        <w:tc>
          <w:tcPr>
            <w:tcW w:w="1240" w:type="dxa"/>
            <w:tcBorders>
              <w:bottom w:val="double" w:sz="8" w:space="0" w:color="000000"/>
            </w:tcBorders>
            <w:shd w:fill="CCEEFF" w:val="clear"/>
            <w:vAlign w:val="bottom"/>
          </w:tcPr>
          <w:p>
            <w:pPr>
              <w:pStyle w:val="TableContents"/>
              <w:bidi w:val="0"/>
              <w:spacing w:before="0" w:after="0"/>
              <w:jc w:val="right"/>
              <w:rPr>
                <w:b/>
              </w:rPr>
            </w:pPr>
            <w:r>
              <w:rPr>
                <w:b/>
              </w:rPr>
              <w:t>44,552</w:t>
            </w:r>
          </w:p>
        </w:tc>
        <w:tc>
          <w:tcPr>
            <w:tcW w:w="95" w:type="dxa"/>
            <w:tcBorders>
              <w:bottom w:val="double" w:sz="8" w:space="0" w:color="000000"/>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vAlign w:val="bottom"/>
          </w:tcPr>
          <w:p>
            <w:pPr>
              <w:pStyle w:val="TableContents"/>
              <w:bidi w:val="0"/>
              <w:spacing w:before="0" w:after="283"/>
              <w:jc w:val="left"/>
              <w:rPr/>
            </w:pPr>
            <w:r>
              <w:rPr/>
              <w:t> </w:t>
            </w:r>
          </w:p>
        </w:tc>
        <w:tc>
          <w:tcPr>
            <w:tcW w:w="138" w:type="dxa"/>
            <w:tcBorders>
              <w:bottom w:val="double" w:sz="8" w:space="0" w:color="000000"/>
            </w:tcBorders>
            <w:shd w:fill="CCEEFF" w:val="clear"/>
            <w:vAlign w:val="bottom"/>
          </w:tcPr>
          <w:p>
            <w:pPr>
              <w:pStyle w:val="TableContents"/>
              <w:bidi w:val="0"/>
              <w:spacing w:before="0" w:after="283"/>
              <w:jc w:val="left"/>
              <w:rPr/>
            </w:pPr>
            <w:r>
              <w:rPr/>
              <w:t> </w:t>
            </w:r>
          </w:p>
        </w:tc>
        <w:tc>
          <w:tcPr>
            <w:tcW w:w="2027" w:type="dxa"/>
            <w:tcBorders>
              <w:bottom w:val="double" w:sz="8" w:space="0" w:color="000000"/>
            </w:tcBorders>
            <w:shd w:fill="CCEEFF" w:val="clear"/>
            <w:vAlign w:val="bottom"/>
          </w:tcPr>
          <w:p>
            <w:pPr>
              <w:pStyle w:val="TableContents"/>
              <w:bidi w:val="0"/>
              <w:spacing w:before="0" w:after="0"/>
              <w:jc w:val="right"/>
              <w:rPr>
                <w:b/>
              </w:rPr>
            </w:pPr>
            <w:r>
              <w:rPr>
                <w:b/>
              </w:rPr>
              <w:t>206,567</w:t>
            </w:r>
          </w:p>
        </w:tc>
        <w:tc>
          <w:tcPr>
            <w:tcW w:w="95" w:type="dxa"/>
            <w:tcBorders>
              <w:bottom w:val="double" w:sz="8" w:space="0" w:color="000000"/>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vAlign w:val="bottom"/>
          </w:tcPr>
          <w:p>
            <w:pPr>
              <w:pStyle w:val="TableContents"/>
              <w:bidi w:val="0"/>
              <w:spacing w:before="0" w:after="283"/>
              <w:jc w:val="left"/>
              <w:rPr/>
            </w:pPr>
            <w:r>
              <w:rPr/>
              <w:t> </w:t>
            </w:r>
          </w:p>
        </w:tc>
        <w:tc>
          <w:tcPr>
            <w:tcW w:w="182" w:type="dxa"/>
            <w:tcBorders>
              <w:bottom w:val="double" w:sz="8" w:space="0" w:color="000000"/>
            </w:tcBorders>
            <w:shd w:fill="CCEEFF" w:val="clear"/>
            <w:vAlign w:val="bottom"/>
          </w:tcPr>
          <w:p>
            <w:pPr>
              <w:pStyle w:val="TableContents"/>
              <w:bidi w:val="0"/>
              <w:spacing w:before="0" w:after="283"/>
              <w:jc w:val="left"/>
              <w:rPr/>
            </w:pPr>
            <w:r>
              <w:rPr/>
              <w:t> </w:t>
            </w:r>
          </w:p>
        </w:tc>
        <w:tc>
          <w:tcPr>
            <w:tcW w:w="2298" w:type="dxa"/>
            <w:tcBorders>
              <w:bottom w:val="double" w:sz="8" w:space="0" w:color="000000"/>
            </w:tcBorders>
            <w:shd w:fill="CCEEFF" w:val="clear"/>
            <w:vAlign w:val="bottom"/>
          </w:tcPr>
          <w:p>
            <w:pPr>
              <w:pStyle w:val="TableContents"/>
              <w:bidi w:val="0"/>
              <w:spacing w:before="0" w:after="0"/>
              <w:jc w:val="right"/>
              <w:rPr>
                <w:b/>
              </w:rPr>
            </w:pPr>
            <w:r>
              <w:rPr>
                <w:b/>
              </w:rPr>
              <w:t>-</w:t>
            </w:r>
          </w:p>
        </w:tc>
        <w:tc>
          <w:tcPr>
            <w:tcW w:w="95" w:type="dxa"/>
            <w:tcBorders>
              <w:bottom w:val="double" w:sz="8" w:space="0" w:color="000000"/>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vAlign w:val="bottom"/>
          </w:tcPr>
          <w:p>
            <w:pPr>
              <w:pStyle w:val="TableContents"/>
              <w:bidi w:val="0"/>
              <w:spacing w:before="0" w:after="283"/>
              <w:jc w:val="left"/>
              <w:rPr/>
            </w:pPr>
            <w:r>
              <w:rPr/>
              <w:t> </w:t>
            </w:r>
          </w:p>
        </w:tc>
        <w:tc>
          <w:tcPr>
            <w:tcW w:w="288" w:type="dxa"/>
            <w:tcBorders>
              <w:bottom w:val="double" w:sz="8" w:space="0" w:color="000000"/>
            </w:tcBorders>
            <w:shd w:fill="CCEEFF" w:val="clear"/>
            <w:vAlign w:val="bottom"/>
          </w:tcPr>
          <w:p>
            <w:pPr>
              <w:pStyle w:val="TableContents"/>
              <w:bidi w:val="0"/>
              <w:spacing w:before="0" w:after="283"/>
              <w:jc w:val="left"/>
              <w:rPr/>
            </w:pPr>
            <w:r>
              <w:rPr/>
              <w:t> </w:t>
            </w:r>
          </w:p>
        </w:tc>
        <w:tc>
          <w:tcPr>
            <w:tcW w:w="2192" w:type="dxa"/>
            <w:tcBorders>
              <w:bottom w:val="double" w:sz="8" w:space="0" w:color="000000"/>
            </w:tcBorders>
            <w:shd w:fill="CCEEFF" w:val="clear"/>
            <w:vAlign w:val="bottom"/>
          </w:tcPr>
          <w:p>
            <w:pPr>
              <w:pStyle w:val="TableContents"/>
              <w:bidi w:val="0"/>
              <w:spacing w:before="0" w:after="0"/>
              <w:jc w:val="right"/>
              <w:rPr>
                <w:b/>
              </w:rPr>
            </w:pPr>
            <w:r>
              <w:rPr>
                <w:b/>
              </w:rPr>
              <w:t>-</w:t>
            </w:r>
          </w:p>
        </w:tc>
        <w:tc>
          <w:tcPr>
            <w:tcW w:w="95" w:type="dxa"/>
            <w:tcBorders>
              <w:bottom w:val="double" w:sz="8" w:space="0" w:color="000000"/>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vAlign w:val="bottom"/>
          </w:tcPr>
          <w:p>
            <w:pPr>
              <w:pStyle w:val="TableContents"/>
              <w:bidi w:val="0"/>
              <w:spacing w:before="0" w:after="283"/>
              <w:jc w:val="left"/>
              <w:rPr/>
            </w:pPr>
            <w:r>
              <w:rPr/>
              <w:t> </w:t>
            </w:r>
          </w:p>
        </w:tc>
        <w:tc>
          <w:tcPr>
            <w:tcW w:w="159" w:type="dxa"/>
            <w:tcBorders>
              <w:bottom w:val="double" w:sz="8" w:space="0" w:color="000000"/>
            </w:tcBorders>
            <w:shd w:fill="CCEEFF" w:val="clear"/>
            <w:vAlign w:val="bottom"/>
          </w:tcPr>
          <w:p>
            <w:pPr>
              <w:pStyle w:val="TableContents"/>
              <w:bidi w:val="0"/>
              <w:spacing w:before="0" w:after="283"/>
              <w:jc w:val="left"/>
              <w:rPr/>
            </w:pPr>
            <w:r>
              <w:rPr/>
              <w:t> </w:t>
            </w:r>
          </w:p>
        </w:tc>
        <w:tc>
          <w:tcPr>
            <w:tcW w:w="2321" w:type="dxa"/>
            <w:tcBorders>
              <w:bottom w:val="double" w:sz="8" w:space="0" w:color="000000"/>
            </w:tcBorders>
            <w:shd w:fill="CCEEFF" w:val="clear"/>
            <w:vAlign w:val="bottom"/>
          </w:tcPr>
          <w:p>
            <w:pPr>
              <w:pStyle w:val="TableContents"/>
              <w:bidi w:val="0"/>
              <w:spacing w:before="0" w:after="0"/>
              <w:jc w:val="right"/>
              <w:rPr>
                <w:b/>
              </w:rPr>
            </w:pPr>
            <w:r>
              <w:rPr>
                <w:b/>
              </w:rPr>
              <w:t>-</w:t>
            </w:r>
          </w:p>
        </w:tc>
        <w:tc>
          <w:tcPr>
            <w:tcW w:w="95" w:type="dxa"/>
            <w:tcBorders>
              <w:bottom w:val="double" w:sz="8" w:space="0" w:color="000000"/>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vAlign w:val="bottom"/>
          </w:tcPr>
          <w:p>
            <w:pPr>
              <w:pStyle w:val="TableContents"/>
              <w:bidi w:val="0"/>
              <w:spacing w:before="0" w:after="283"/>
              <w:jc w:val="left"/>
              <w:rPr/>
            </w:pPr>
            <w:r>
              <w:rPr/>
              <w:t> </w:t>
            </w:r>
          </w:p>
        </w:tc>
        <w:tc>
          <w:tcPr>
            <w:tcW w:w="182" w:type="dxa"/>
            <w:tcBorders>
              <w:bottom w:val="double" w:sz="8" w:space="0" w:color="000000"/>
            </w:tcBorders>
            <w:shd w:fill="CCEEFF" w:val="clear"/>
            <w:vAlign w:val="bottom"/>
          </w:tcPr>
          <w:p>
            <w:pPr>
              <w:pStyle w:val="TableContents"/>
              <w:bidi w:val="0"/>
              <w:spacing w:before="0" w:after="283"/>
              <w:jc w:val="left"/>
              <w:rPr/>
            </w:pPr>
            <w:r>
              <w:rPr/>
              <w:t> </w:t>
            </w:r>
          </w:p>
        </w:tc>
        <w:tc>
          <w:tcPr>
            <w:tcW w:w="2298" w:type="dxa"/>
            <w:tcBorders>
              <w:bottom w:val="double" w:sz="8" w:space="0" w:color="000000"/>
            </w:tcBorders>
            <w:shd w:fill="CCEEFF" w:val="clear"/>
            <w:vAlign w:val="bottom"/>
          </w:tcPr>
          <w:p>
            <w:pPr>
              <w:pStyle w:val="TableContents"/>
              <w:bidi w:val="0"/>
              <w:spacing w:before="0" w:after="0"/>
              <w:jc w:val="right"/>
              <w:rPr>
                <w:b/>
              </w:rPr>
            </w:pPr>
            <w:r>
              <w:rPr>
                <w:b/>
              </w:rPr>
              <w:t>-</w:t>
            </w:r>
          </w:p>
        </w:tc>
        <w:tc>
          <w:tcPr>
            <w:tcW w:w="155" w:type="dxa"/>
            <w:tcBorders>
              <w:bottom w:val="double" w:sz="8" w:space="0" w:color="000000"/>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vAlign w:val="bottom"/>
          </w:tcPr>
          <w:p>
            <w:pPr>
              <w:pStyle w:val="TableContents"/>
              <w:bidi w:val="0"/>
              <w:spacing w:before="0" w:after="283"/>
              <w:jc w:val="left"/>
              <w:rPr/>
            </w:pPr>
            <w:r>
              <w:rPr/>
              <w:t> </w:t>
            </w:r>
          </w:p>
        </w:tc>
        <w:tc>
          <w:tcPr>
            <w:tcW w:w="77" w:type="dxa"/>
            <w:tcBorders>
              <w:bottom w:val="double" w:sz="8" w:space="0" w:color="000000"/>
            </w:tcBorders>
            <w:shd w:fill="CCEEFF" w:val="clear"/>
            <w:vAlign w:val="bottom"/>
          </w:tcPr>
          <w:p>
            <w:pPr>
              <w:pStyle w:val="TableContents"/>
              <w:bidi w:val="0"/>
              <w:spacing w:before="0" w:after="283"/>
              <w:jc w:val="left"/>
              <w:rPr/>
            </w:pPr>
            <w:r>
              <w:rPr/>
              <w:t> </w:t>
            </w:r>
          </w:p>
        </w:tc>
        <w:tc>
          <w:tcPr>
            <w:tcW w:w="1128" w:type="dxa"/>
            <w:tcBorders>
              <w:bottom w:val="double" w:sz="8" w:space="0" w:color="000000"/>
            </w:tcBorders>
            <w:shd w:fill="CCEEFF" w:val="clear"/>
            <w:vAlign w:val="bottom"/>
          </w:tcPr>
          <w:p>
            <w:pPr>
              <w:pStyle w:val="TableContents"/>
              <w:bidi w:val="0"/>
              <w:spacing w:before="0" w:after="0"/>
              <w:jc w:val="right"/>
              <w:rPr>
                <w:b/>
              </w:rPr>
            </w:pPr>
            <w:r>
              <w:rPr>
                <w:b/>
              </w:rPr>
              <w:t>206,567</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890" w:type="dxa"/>
            <w:tcBorders/>
            <w:tcMar>
              <w:bottom w:w="0" w:type="dxa"/>
            </w:tcMar>
            <w:vAlign w:val="bottom"/>
          </w:tcPr>
          <w:p>
            <w:pPr>
              <w:pStyle w:val="TableContents"/>
              <w:bidi w:val="0"/>
              <w:spacing w:before="0" w:after="0"/>
              <w:jc w:val="left"/>
              <w:rPr>
                <w:b/>
              </w:rPr>
            </w:pPr>
            <w:r>
              <w:rPr>
                <w:b/>
              </w:rPr>
              <w:t>LIABILITIES AND EQUITY</w:t>
            </w:r>
          </w:p>
        </w:tc>
        <w:tc>
          <w:tcPr>
            <w:tcW w:w="60" w:type="dxa"/>
            <w:tcBorders/>
            <w:tcMar>
              <w:bottom w:w="0" w:type="dxa"/>
            </w:tcMar>
            <w:vAlign w:val="bottom"/>
          </w:tcPr>
          <w:p>
            <w:pPr>
              <w:pStyle w:val="TableContents"/>
              <w:bidi w:val="0"/>
              <w:spacing w:before="0" w:after="283"/>
              <w:jc w:val="left"/>
              <w:rPr/>
            </w:pPr>
            <w:r>
              <w:rPr/>
              <w:t> </w:t>
            </w:r>
          </w:p>
        </w:tc>
        <w:tc>
          <w:tcPr>
            <w:tcW w:w="169" w:type="dxa"/>
            <w:tcBorders/>
            <w:tcMar>
              <w:bottom w:w="0" w:type="dxa"/>
            </w:tcMar>
            <w:vAlign w:val="bottom"/>
          </w:tcPr>
          <w:p>
            <w:pPr>
              <w:pStyle w:val="TableContents"/>
              <w:bidi w:val="0"/>
              <w:spacing w:before="0" w:after="283"/>
              <w:jc w:val="left"/>
              <w:rPr/>
            </w:pPr>
            <w:r>
              <w:rPr/>
              <w:t> </w:t>
            </w:r>
          </w:p>
        </w:tc>
        <w:tc>
          <w:tcPr>
            <w:tcW w:w="2266"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5" w:type="dxa"/>
            <w:tcBorders/>
            <w:tcMar>
              <w:bottom w:w="0" w:type="dxa"/>
            </w:tcMar>
            <w:vAlign w:val="bottom"/>
          </w:tcPr>
          <w:p>
            <w:pPr>
              <w:pStyle w:val="TableContents"/>
              <w:bidi w:val="0"/>
              <w:spacing w:before="0" w:after="283"/>
              <w:jc w:val="left"/>
              <w:rPr/>
            </w:pPr>
            <w:r>
              <w:rPr/>
              <w:t> </w:t>
            </w:r>
          </w:p>
        </w:tc>
        <w:tc>
          <w:tcPr>
            <w:tcW w:w="1240"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2027"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88" w:type="dxa"/>
            <w:tcBorders/>
            <w:tcMar>
              <w:bottom w:w="0" w:type="dxa"/>
            </w:tcMar>
            <w:vAlign w:val="bottom"/>
          </w:tcPr>
          <w:p>
            <w:pPr>
              <w:pStyle w:val="TableContents"/>
              <w:bidi w:val="0"/>
              <w:spacing w:before="0" w:after="283"/>
              <w:jc w:val="left"/>
              <w:rPr/>
            </w:pPr>
            <w:r>
              <w:rPr/>
              <w:t> </w:t>
            </w:r>
          </w:p>
        </w:tc>
        <w:tc>
          <w:tcPr>
            <w:tcW w:w="2192"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2321"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7" w:type="dxa"/>
            <w:tcBorders/>
            <w:tcMar>
              <w:bottom w:w="0" w:type="dxa"/>
            </w:tcMar>
            <w:vAlign w:val="bottom"/>
          </w:tcPr>
          <w:p>
            <w:pPr>
              <w:pStyle w:val="TableContents"/>
              <w:bidi w:val="0"/>
              <w:spacing w:before="0" w:after="283"/>
              <w:jc w:val="left"/>
              <w:rPr/>
            </w:pPr>
            <w:r>
              <w:rPr/>
              <w:t> </w:t>
            </w:r>
          </w:p>
        </w:tc>
        <w:tc>
          <w:tcPr>
            <w:tcW w:w="1128"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r>
      <w:tr>
        <w:trPr/>
        <w:tc>
          <w:tcPr>
            <w:tcW w:w="6890" w:type="dxa"/>
            <w:tcBorders/>
            <w:shd w:fill="CCEEFF" w:val="clear"/>
            <w:tcMar>
              <w:bottom w:w="0" w:type="dxa"/>
            </w:tcMar>
            <w:vAlign w:val="bottom"/>
          </w:tcPr>
          <w:p>
            <w:pPr>
              <w:pStyle w:val="TableContents"/>
              <w:bidi w:val="0"/>
              <w:spacing w:before="0" w:after="0"/>
              <w:jc w:val="left"/>
              <w:rPr/>
            </w:pPr>
            <w:r>
              <w:rPr/>
              <w:t>Accounts payable</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2266" w:type="dxa"/>
            <w:tcBorders/>
            <w:shd w:fill="CCEEFF" w:val="clear"/>
            <w:tcMar>
              <w:bottom w:w="0" w:type="dxa"/>
            </w:tcMar>
            <w:vAlign w:val="bottom"/>
          </w:tcPr>
          <w:p>
            <w:pPr>
              <w:pStyle w:val="TableContents"/>
              <w:bidi w:val="0"/>
              <w:spacing w:before="0" w:after="0"/>
              <w:jc w:val="right"/>
              <w:rPr/>
            </w:pPr>
            <w:r>
              <w:rPr/>
              <w:t>265</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5" w:type="dxa"/>
            <w:tcBorders/>
            <w:shd w:fill="CCEEFF" w:val="clear"/>
            <w:tcMar>
              <w:bottom w:w="0" w:type="dxa"/>
            </w:tcMar>
            <w:vAlign w:val="bottom"/>
          </w:tcPr>
          <w:p>
            <w:pPr>
              <w:pStyle w:val="TableContents"/>
              <w:bidi w:val="0"/>
              <w:spacing w:before="0" w:after="283"/>
              <w:jc w:val="left"/>
              <w:rPr/>
            </w:pPr>
            <w:r>
              <w:rPr/>
              <w:t> </w:t>
            </w:r>
          </w:p>
        </w:tc>
        <w:tc>
          <w:tcPr>
            <w:tcW w:w="1240" w:type="dxa"/>
            <w:tcBorders/>
            <w:shd w:fill="CCEEFF" w:val="clear"/>
            <w:tcMar>
              <w:bottom w:w="0" w:type="dxa"/>
            </w:tcMar>
            <w:vAlign w:val="bottom"/>
          </w:tcPr>
          <w:p>
            <w:pPr>
              <w:pStyle w:val="TableContents"/>
              <w:bidi w:val="0"/>
              <w:spacing w:before="0" w:after="0"/>
              <w:jc w:val="right"/>
              <w:rPr/>
            </w:pPr>
            <w:r>
              <w:rPr/>
              <w:t>1,538</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2027" w:type="dxa"/>
            <w:tcBorders/>
            <w:shd w:fill="CCEEFF" w:val="clear"/>
            <w:tcMar>
              <w:bottom w:w="0" w:type="dxa"/>
            </w:tcMar>
            <w:vAlign w:val="bottom"/>
          </w:tcPr>
          <w:p>
            <w:pPr>
              <w:pStyle w:val="TableContents"/>
              <w:bidi w:val="0"/>
              <w:spacing w:before="0" w:after="0"/>
              <w:jc w:val="right"/>
              <w:rPr/>
            </w:pPr>
            <w:r>
              <w:rPr/>
              <w:t>1,803</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88" w:type="dxa"/>
            <w:tcBorders/>
            <w:shd w:fill="CCEEFF" w:val="clear"/>
            <w:tcMar>
              <w:bottom w:w="0" w:type="dxa"/>
            </w:tcMar>
            <w:vAlign w:val="bottom"/>
          </w:tcPr>
          <w:p>
            <w:pPr>
              <w:pStyle w:val="TableContents"/>
              <w:bidi w:val="0"/>
              <w:spacing w:before="0" w:after="283"/>
              <w:jc w:val="left"/>
              <w:rPr/>
            </w:pPr>
            <w:r>
              <w:rPr/>
              <w:t> </w:t>
            </w:r>
          </w:p>
        </w:tc>
        <w:tc>
          <w:tcPr>
            <w:tcW w:w="2192"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2321"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283"/>
              <w:jc w:val="righ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7" w:type="dxa"/>
            <w:tcBorders/>
            <w:shd w:fill="CCEEFF" w:val="clear"/>
            <w:tcMar>
              <w:bottom w:w="0" w:type="dxa"/>
            </w:tcMar>
            <w:vAlign w:val="bottom"/>
          </w:tcPr>
          <w:p>
            <w:pPr>
              <w:pStyle w:val="TableContents"/>
              <w:bidi w:val="0"/>
              <w:spacing w:before="0" w:after="283"/>
              <w:jc w:val="left"/>
              <w:rPr/>
            </w:pPr>
            <w:r>
              <w:rPr/>
              <w:t> </w:t>
            </w:r>
          </w:p>
        </w:tc>
        <w:tc>
          <w:tcPr>
            <w:tcW w:w="1128" w:type="dxa"/>
            <w:tcBorders/>
            <w:shd w:fill="CCEEFF" w:val="clear"/>
            <w:tcMar>
              <w:bottom w:w="0" w:type="dxa"/>
            </w:tcMar>
            <w:vAlign w:val="bottom"/>
          </w:tcPr>
          <w:p>
            <w:pPr>
              <w:pStyle w:val="TableContents"/>
              <w:bidi w:val="0"/>
              <w:spacing w:before="0" w:after="0"/>
              <w:jc w:val="right"/>
              <w:rPr/>
            </w:pPr>
            <w:r>
              <w:rPr/>
              <w:t>1,803</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890" w:type="dxa"/>
            <w:tcBorders/>
            <w:tcMar>
              <w:bottom w:w="0" w:type="dxa"/>
            </w:tcMar>
            <w:vAlign w:val="bottom"/>
          </w:tcPr>
          <w:p>
            <w:pPr>
              <w:pStyle w:val="TableContents"/>
              <w:bidi w:val="0"/>
              <w:spacing w:before="0" w:after="0"/>
              <w:jc w:val="left"/>
              <w:rPr/>
            </w:pPr>
            <w:r>
              <w:rPr/>
              <w:t>Due to related parties</w:t>
            </w:r>
          </w:p>
        </w:tc>
        <w:tc>
          <w:tcPr>
            <w:tcW w:w="60" w:type="dxa"/>
            <w:tcBorders/>
            <w:tcMar>
              <w:bottom w:w="0" w:type="dxa"/>
            </w:tcMar>
            <w:vAlign w:val="bottom"/>
          </w:tcPr>
          <w:p>
            <w:pPr>
              <w:pStyle w:val="TableContents"/>
              <w:bidi w:val="0"/>
              <w:spacing w:before="0" w:after="283"/>
              <w:jc w:val="left"/>
              <w:rPr/>
            </w:pPr>
            <w:r>
              <w:rPr/>
              <w:t> </w:t>
            </w:r>
          </w:p>
        </w:tc>
        <w:tc>
          <w:tcPr>
            <w:tcW w:w="169" w:type="dxa"/>
            <w:tcBorders/>
            <w:tcMar>
              <w:bottom w:w="0" w:type="dxa"/>
            </w:tcMar>
            <w:vAlign w:val="bottom"/>
          </w:tcPr>
          <w:p>
            <w:pPr>
              <w:pStyle w:val="TableContents"/>
              <w:bidi w:val="0"/>
              <w:spacing w:before="0" w:after="283"/>
              <w:jc w:val="left"/>
              <w:rPr/>
            </w:pPr>
            <w:r>
              <w:rPr/>
              <w:t> </w:t>
            </w:r>
          </w:p>
        </w:tc>
        <w:tc>
          <w:tcPr>
            <w:tcW w:w="2266" w:type="dxa"/>
            <w:tcBorders/>
            <w:tcMar>
              <w:bottom w:w="0" w:type="dxa"/>
            </w:tcMar>
            <w:vAlign w:val="bottom"/>
          </w:tcPr>
          <w:p>
            <w:pPr>
              <w:pStyle w:val="TableContents"/>
              <w:bidi w:val="0"/>
              <w:spacing w:before="0" w:after="0"/>
              <w:jc w:val="right"/>
              <w:rPr/>
            </w:pPr>
            <w:r>
              <w:rPr/>
              <w:t>226</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5" w:type="dxa"/>
            <w:tcBorders/>
            <w:tcMar>
              <w:bottom w:w="0" w:type="dxa"/>
            </w:tcMar>
            <w:vAlign w:val="bottom"/>
          </w:tcPr>
          <w:p>
            <w:pPr>
              <w:pStyle w:val="TableContents"/>
              <w:bidi w:val="0"/>
              <w:spacing w:before="0" w:after="283"/>
              <w:jc w:val="left"/>
              <w:rPr/>
            </w:pPr>
            <w:r>
              <w:rPr/>
              <w:t> </w:t>
            </w:r>
          </w:p>
        </w:tc>
        <w:tc>
          <w:tcPr>
            <w:tcW w:w="1240" w:type="dxa"/>
            <w:tcBorders/>
            <w:tcMar>
              <w:bottom w:w="0" w:type="dxa"/>
            </w:tcMar>
            <w:vAlign w:val="bottom"/>
          </w:tcPr>
          <w:p>
            <w:pPr>
              <w:pStyle w:val="TableContents"/>
              <w:bidi w:val="0"/>
              <w:spacing w:before="0" w:after="0"/>
              <w:jc w:val="right"/>
              <w:rPr/>
            </w:pPr>
            <w:r>
              <w:rPr/>
              <w:t>-</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2027" w:type="dxa"/>
            <w:tcBorders/>
            <w:tcMar>
              <w:bottom w:w="0" w:type="dxa"/>
            </w:tcMar>
            <w:vAlign w:val="bottom"/>
          </w:tcPr>
          <w:p>
            <w:pPr>
              <w:pStyle w:val="TableContents"/>
              <w:bidi w:val="0"/>
              <w:spacing w:before="0" w:after="0"/>
              <w:jc w:val="right"/>
              <w:rPr/>
            </w:pPr>
            <w:r>
              <w:rPr/>
              <w:t>226</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88" w:type="dxa"/>
            <w:tcBorders/>
            <w:tcMar>
              <w:bottom w:w="0" w:type="dxa"/>
            </w:tcMar>
            <w:vAlign w:val="bottom"/>
          </w:tcPr>
          <w:p>
            <w:pPr>
              <w:pStyle w:val="TableContents"/>
              <w:bidi w:val="0"/>
              <w:spacing w:before="0" w:after="283"/>
              <w:jc w:val="left"/>
              <w:rPr/>
            </w:pPr>
            <w:r>
              <w:rPr/>
              <w:t> </w:t>
            </w:r>
          </w:p>
        </w:tc>
        <w:tc>
          <w:tcPr>
            <w:tcW w:w="2192"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2321"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7" w:type="dxa"/>
            <w:tcBorders/>
            <w:tcMar>
              <w:bottom w:w="0" w:type="dxa"/>
            </w:tcMar>
            <w:vAlign w:val="bottom"/>
          </w:tcPr>
          <w:p>
            <w:pPr>
              <w:pStyle w:val="TableContents"/>
              <w:bidi w:val="0"/>
              <w:spacing w:before="0" w:after="283"/>
              <w:jc w:val="left"/>
              <w:rPr/>
            </w:pPr>
            <w:r>
              <w:rPr/>
              <w:t> </w:t>
            </w:r>
          </w:p>
        </w:tc>
        <w:tc>
          <w:tcPr>
            <w:tcW w:w="1128" w:type="dxa"/>
            <w:tcBorders/>
            <w:tcMar>
              <w:bottom w:w="0" w:type="dxa"/>
            </w:tcMar>
            <w:vAlign w:val="bottom"/>
          </w:tcPr>
          <w:p>
            <w:pPr>
              <w:pStyle w:val="TableContents"/>
              <w:bidi w:val="0"/>
              <w:spacing w:before="0" w:after="0"/>
              <w:jc w:val="right"/>
              <w:rPr/>
            </w:pPr>
            <w:r>
              <w:rPr/>
              <w:t>226</w:t>
            </w:r>
          </w:p>
        </w:tc>
        <w:tc>
          <w:tcPr>
            <w:tcW w:w="95" w:type="dxa"/>
            <w:tcBorders/>
            <w:tcMar>
              <w:bottom w:w="0" w:type="dxa"/>
            </w:tcMar>
            <w:vAlign w:val="bottom"/>
          </w:tcPr>
          <w:p>
            <w:pPr>
              <w:pStyle w:val="TableContents"/>
              <w:bidi w:val="0"/>
              <w:spacing w:before="0" w:after="283"/>
              <w:jc w:val="left"/>
              <w:rPr/>
            </w:pPr>
            <w:r>
              <w:rPr/>
              <w:t> </w:t>
            </w:r>
          </w:p>
        </w:tc>
      </w:tr>
      <w:tr>
        <w:trPr/>
        <w:tc>
          <w:tcPr>
            <w:tcW w:w="6890" w:type="dxa"/>
            <w:tcBorders/>
            <w:shd w:fill="CCEEFF" w:val="clear"/>
            <w:tcMar>
              <w:bottom w:w="0" w:type="dxa"/>
            </w:tcMar>
            <w:vAlign w:val="bottom"/>
          </w:tcPr>
          <w:p>
            <w:pPr>
              <w:pStyle w:val="TableContents"/>
              <w:bidi w:val="0"/>
              <w:spacing w:before="0" w:after="0"/>
              <w:jc w:val="left"/>
              <w:rPr/>
            </w:pPr>
            <w:r>
              <w:rPr/>
              <w:t>Accrued expenses and other current liabilities</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2266" w:type="dxa"/>
            <w:tcBorders/>
            <w:shd w:fill="CCEEFF" w:val="clear"/>
            <w:tcMar>
              <w:bottom w:w="0" w:type="dxa"/>
            </w:tcMar>
            <w:vAlign w:val="bottom"/>
          </w:tcPr>
          <w:p>
            <w:pPr>
              <w:pStyle w:val="TableContents"/>
              <w:bidi w:val="0"/>
              <w:spacing w:before="0" w:after="0"/>
              <w:jc w:val="right"/>
              <w:rPr/>
            </w:pPr>
            <w:r>
              <w:rPr/>
              <w:t>15,415</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5" w:type="dxa"/>
            <w:tcBorders/>
            <w:shd w:fill="CCEEFF" w:val="clear"/>
            <w:tcMar>
              <w:bottom w:w="0" w:type="dxa"/>
            </w:tcMar>
            <w:vAlign w:val="bottom"/>
          </w:tcPr>
          <w:p>
            <w:pPr>
              <w:pStyle w:val="TableContents"/>
              <w:bidi w:val="0"/>
              <w:spacing w:before="0" w:after="283"/>
              <w:jc w:val="left"/>
              <w:rPr/>
            </w:pPr>
            <w:r>
              <w:rPr/>
              <w:t> </w:t>
            </w:r>
          </w:p>
        </w:tc>
        <w:tc>
          <w:tcPr>
            <w:tcW w:w="1240" w:type="dxa"/>
            <w:tcBorders/>
            <w:shd w:fill="CCEEFF" w:val="clear"/>
            <w:tcMar>
              <w:bottom w:w="0" w:type="dxa"/>
            </w:tcMar>
            <w:vAlign w:val="bottom"/>
          </w:tcPr>
          <w:p>
            <w:pPr>
              <w:pStyle w:val="TableContents"/>
              <w:bidi w:val="0"/>
              <w:spacing w:before="0" w:after="0"/>
              <w:jc w:val="right"/>
              <w:rPr/>
            </w:pPr>
            <w:r>
              <w:rPr/>
              <w:t>2,403</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2027" w:type="dxa"/>
            <w:tcBorders/>
            <w:shd w:fill="CCEEFF" w:val="clear"/>
            <w:tcMar>
              <w:bottom w:w="0" w:type="dxa"/>
            </w:tcMar>
            <w:vAlign w:val="bottom"/>
          </w:tcPr>
          <w:p>
            <w:pPr>
              <w:pStyle w:val="TableContents"/>
              <w:bidi w:val="0"/>
              <w:spacing w:before="0" w:after="0"/>
              <w:jc w:val="right"/>
              <w:rPr/>
            </w:pPr>
            <w:r>
              <w:rPr/>
              <w:t>17,818</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88" w:type="dxa"/>
            <w:tcBorders/>
            <w:shd w:fill="CCEEFF" w:val="clear"/>
            <w:tcMar>
              <w:bottom w:w="0" w:type="dxa"/>
            </w:tcMar>
            <w:vAlign w:val="bottom"/>
          </w:tcPr>
          <w:p>
            <w:pPr>
              <w:pStyle w:val="TableContents"/>
              <w:bidi w:val="0"/>
              <w:spacing w:before="0" w:after="283"/>
              <w:jc w:val="left"/>
              <w:rPr/>
            </w:pPr>
            <w:r>
              <w:rPr/>
              <w:t> </w:t>
            </w:r>
          </w:p>
        </w:tc>
        <w:tc>
          <w:tcPr>
            <w:tcW w:w="2192" w:type="dxa"/>
            <w:tcBorders/>
            <w:shd w:fill="CCEEFF" w:val="clear"/>
            <w:tcMar>
              <w:bottom w:w="0" w:type="dxa"/>
            </w:tcMar>
            <w:vAlign w:val="bottom"/>
          </w:tcPr>
          <w:p>
            <w:pPr>
              <w:pStyle w:val="TableContents"/>
              <w:bidi w:val="0"/>
              <w:spacing w:before="0" w:after="0"/>
              <w:jc w:val="right"/>
              <w:rPr/>
            </w:pPr>
            <w:r>
              <w:rPr/>
              <w:t>302</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2321"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283"/>
              <w:jc w:val="righ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7" w:type="dxa"/>
            <w:tcBorders/>
            <w:shd w:fill="CCEEFF" w:val="clear"/>
            <w:tcMar>
              <w:bottom w:w="0" w:type="dxa"/>
            </w:tcMar>
            <w:vAlign w:val="bottom"/>
          </w:tcPr>
          <w:p>
            <w:pPr>
              <w:pStyle w:val="TableContents"/>
              <w:bidi w:val="0"/>
              <w:spacing w:before="0" w:after="283"/>
              <w:jc w:val="left"/>
              <w:rPr/>
            </w:pPr>
            <w:r>
              <w:rPr/>
              <w:t> </w:t>
            </w:r>
          </w:p>
        </w:tc>
        <w:tc>
          <w:tcPr>
            <w:tcW w:w="1128" w:type="dxa"/>
            <w:tcBorders/>
            <w:shd w:fill="CCEEFF" w:val="clear"/>
            <w:tcMar>
              <w:bottom w:w="0" w:type="dxa"/>
            </w:tcMar>
            <w:vAlign w:val="bottom"/>
          </w:tcPr>
          <w:p>
            <w:pPr>
              <w:pStyle w:val="TableContents"/>
              <w:bidi w:val="0"/>
              <w:spacing w:before="0" w:after="0"/>
              <w:jc w:val="right"/>
              <w:rPr/>
            </w:pPr>
            <w:r>
              <w:rPr/>
              <w:t>18,120</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890" w:type="dxa"/>
            <w:tcBorders/>
            <w:tcMar>
              <w:bottom w:w="0" w:type="dxa"/>
            </w:tcMar>
            <w:vAlign w:val="bottom"/>
          </w:tcPr>
          <w:p>
            <w:pPr>
              <w:pStyle w:val="TableContents"/>
              <w:bidi w:val="0"/>
              <w:spacing w:before="0" w:after="0"/>
              <w:jc w:val="left"/>
              <w:rPr/>
            </w:pPr>
            <w:r>
              <w:rPr/>
              <w:t>Income tax payable</w:t>
            </w:r>
          </w:p>
        </w:tc>
        <w:tc>
          <w:tcPr>
            <w:tcW w:w="60" w:type="dxa"/>
            <w:tcBorders/>
            <w:tcMar>
              <w:bottom w:w="0" w:type="dxa"/>
            </w:tcMar>
            <w:vAlign w:val="bottom"/>
          </w:tcPr>
          <w:p>
            <w:pPr>
              <w:pStyle w:val="TableContents"/>
              <w:bidi w:val="0"/>
              <w:spacing w:before="0" w:after="283"/>
              <w:jc w:val="left"/>
              <w:rPr/>
            </w:pPr>
            <w:r>
              <w:rPr/>
              <w:t> </w:t>
            </w:r>
          </w:p>
        </w:tc>
        <w:tc>
          <w:tcPr>
            <w:tcW w:w="169" w:type="dxa"/>
            <w:tcBorders/>
            <w:tcMar>
              <w:bottom w:w="0" w:type="dxa"/>
            </w:tcMar>
            <w:vAlign w:val="bottom"/>
          </w:tcPr>
          <w:p>
            <w:pPr>
              <w:pStyle w:val="TableContents"/>
              <w:bidi w:val="0"/>
              <w:spacing w:before="0" w:after="283"/>
              <w:jc w:val="left"/>
              <w:rPr/>
            </w:pPr>
            <w:r>
              <w:rPr/>
              <w:t> </w:t>
            </w:r>
          </w:p>
        </w:tc>
        <w:tc>
          <w:tcPr>
            <w:tcW w:w="2266" w:type="dxa"/>
            <w:tcBorders/>
            <w:tcMar>
              <w:bottom w:w="0" w:type="dxa"/>
            </w:tcMar>
            <w:vAlign w:val="bottom"/>
          </w:tcPr>
          <w:p>
            <w:pPr>
              <w:pStyle w:val="TableContents"/>
              <w:bidi w:val="0"/>
              <w:spacing w:before="0" w:after="0"/>
              <w:jc w:val="right"/>
              <w:rPr/>
            </w:pPr>
            <w:r>
              <w:rPr/>
              <w:t>3,131</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5" w:type="dxa"/>
            <w:tcBorders/>
            <w:tcMar>
              <w:bottom w:w="0" w:type="dxa"/>
            </w:tcMar>
            <w:vAlign w:val="bottom"/>
          </w:tcPr>
          <w:p>
            <w:pPr>
              <w:pStyle w:val="TableContents"/>
              <w:bidi w:val="0"/>
              <w:spacing w:before="0" w:after="283"/>
              <w:jc w:val="left"/>
              <w:rPr/>
            </w:pPr>
            <w:r>
              <w:rPr/>
              <w:t> </w:t>
            </w:r>
          </w:p>
        </w:tc>
        <w:tc>
          <w:tcPr>
            <w:tcW w:w="1240" w:type="dxa"/>
            <w:tcBorders/>
            <w:tcMar>
              <w:bottom w:w="0" w:type="dxa"/>
            </w:tcMar>
            <w:vAlign w:val="bottom"/>
          </w:tcPr>
          <w:p>
            <w:pPr>
              <w:pStyle w:val="TableContents"/>
              <w:bidi w:val="0"/>
              <w:spacing w:before="0" w:after="0"/>
              <w:jc w:val="right"/>
              <w:rPr/>
            </w:pPr>
            <w:r>
              <w:rPr/>
              <w:t>83</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2027" w:type="dxa"/>
            <w:tcBorders/>
            <w:tcMar>
              <w:bottom w:w="0" w:type="dxa"/>
            </w:tcMar>
            <w:vAlign w:val="bottom"/>
          </w:tcPr>
          <w:p>
            <w:pPr>
              <w:pStyle w:val="TableContents"/>
              <w:bidi w:val="0"/>
              <w:spacing w:before="0" w:after="0"/>
              <w:jc w:val="right"/>
              <w:rPr/>
            </w:pPr>
            <w:r>
              <w:rPr/>
              <w:t>3,214</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88" w:type="dxa"/>
            <w:tcBorders/>
            <w:tcMar>
              <w:bottom w:w="0" w:type="dxa"/>
            </w:tcMar>
            <w:vAlign w:val="bottom"/>
          </w:tcPr>
          <w:p>
            <w:pPr>
              <w:pStyle w:val="TableContents"/>
              <w:bidi w:val="0"/>
              <w:spacing w:before="0" w:after="283"/>
              <w:jc w:val="left"/>
              <w:rPr/>
            </w:pPr>
            <w:r>
              <w:rPr/>
              <w:t> </w:t>
            </w:r>
          </w:p>
        </w:tc>
        <w:tc>
          <w:tcPr>
            <w:tcW w:w="2192"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2321"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7" w:type="dxa"/>
            <w:tcBorders/>
            <w:tcMar>
              <w:bottom w:w="0" w:type="dxa"/>
            </w:tcMar>
            <w:vAlign w:val="bottom"/>
          </w:tcPr>
          <w:p>
            <w:pPr>
              <w:pStyle w:val="TableContents"/>
              <w:bidi w:val="0"/>
              <w:spacing w:before="0" w:after="283"/>
              <w:jc w:val="left"/>
              <w:rPr/>
            </w:pPr>
            <w:r>
              <w:rPr/>
              <w:t> </w:t>
            </w:r>
          </w:p>
        </w:tc>
        <w:tc>
          <w:tcPr>
            <w:tcW w:w="1128" w:type="dxa"/>
            <w:tcBorders/>
            <w:tcMar>
              <w:bottom w:w="0" w:type="dxa"/>
            </w:tcMar>
            <w:vAlign w:val="bottom"/>
          </w:tcPr>
          <w:p>
            <w:pPr>
              <w:pStyle w:val="TableContents"/>
              <w:bidi w:val="0"/>
              <w:spacing w:before="0" w:after="0"/>
              <w:jc w:val="right"/>
              <w:rPr/>
            </w:pPr>
            <w:r>
              <w:rPr/>
              <w:t>3,214</w:t>
            </w:r>
          </w:p>
        </w:tc>
        <w:tc>
          <w:tcPr>
            <w:tcW w:w="95" w:type="dxa"/>
            <w:tcBorders/>
            <w:tcMar>
              <w:bottom w:w="0" w:type="dxa"/>
            </w:tcMar>
            <w:vAlign w:val="bottom"/>
          </w:tcPr>
          <w:p>
            <w:pPr>
              <w:pStyle w:val="TableContents"/>
              <w:bidi w:val="0"/>
              <w:spacing w:before="0" w:after="283"/>
              <w:jc w:val="left"/>
              <w:rPr/>
            </w:pPr>
            <w:r>
              <w:rPr/>
              <w:t> </w:t>
            </w:r>
          </w:p>
        </w:tc>
      </w:tr>
      <w:tr>
        <w:trPr/>
        <w:tc>
          <w:tcPr>
            <w:tcW w:w="6890" w:type="dxa"/>
            <w:tcBorders>
              <w:bottom w:val="single" w:sz="12" w:space="0" w:color="000000"/>
            </w:tcBorders>
            <w:shd w:fill="CCEEFF" w:val="clear"/>
            <w:vAlign w:val="bottom"/>
          </w:tcPr>
          <w:p>
            <w:pPr>
              <w:pStyle w:val="TableContents"/>
              <w:bidi w:val="0"/>
              <w:spacing w:before="0" w:after="0"/>
              <w:jc w:val="left"/>
              <w:rPr/>
            </w:pPr>
            <w:r>
              <w:rPr/>
              <w:t>Operating lease liabilities, current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69" w:type="dxa"/>
            <w:tcBorders>
              <w:bottom w:val="single" w:sz="12" w:space="0" w:color="000000"/>
            </w:tcBorders>
            <w:shd w:fill="CCEEFF" w:val="clear"/>
            <w:vAlign w:val="bottom"/>
          </w:tcPr>
          <w:p>
            <w:pPr>
              <w:pStyle w:val="TableContents"/>
              <w:bidi w:val="0"/>
              <w:spacing w:before="0" w:after="283"/>
              <w:jc w:val="left"/>
              <w:rPr/>
            </w:pPr>
            <w:r>
              <w:rPr/>
              <w:t> </w:t>
            </w:r>
          </w:p>
        </w:tc>
        <w:tc>
          <w:tcPr>
            <w:tcW w:w="2266" w:type="dxa"/>
            <w:tcBorders>
              <w:bottom w:val="single" w:sz="12" w:space="0" w:color="000000"/>
            </w:tcBorders>
            <w:shd w:fill="CCEEFF" w:val="clear"/>
            <w:vAlign w:val="bottom"/>
          </w:tcPr>
          <w:p>
            <w:pPr>
              <w:pStyle w:val="TableContents"/>
              <w:bidi w:val="0"/>
              <w:spacing w:before="0" w:after="0"/>
              <w:jc w:val="right"/>
              <w:rPr/>
            </w:pPr>
            <w:r>
              <w:rPr/>
              <w:t>751</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85" w:type="dxa"/>
            <w:tcBorders>
              <w:bottom w:val="single" w:sz="12" w:space="0" w:color="000000"/>
            </w:tcBorders>
            <w:shd w:fill="CCEEFF" w:val="clear"/>
            <w:vAlign w:val="bottom"/>
          </w:tcPr>
          <w:p>
            <w:pPr>
              <w:pStyle w:val="TableContents"/>
              <w:bidi w:val="0"/>
              <w:spacing w:before="0" w:after="283"/>
              <w:jc w:val="left"/>
              <w:rPr/>
            </w:pPr>
            <w:r>
              <w:rPr/>
              <w:t> </w:t>
            </w:r>
          </w:p>
        </w:tc>
        <w:tc>
          <w:tcPr>
            <w:tcW w:w="1240" w:type="dxa"/>
            <w:tcBorders>
              <w:bottom w:val="single" w:sz="12" w:space="0" w:color="000000"/>
            </w:tcBorders>
            <w:shd w:fill="CCEEFF" w:val="clear"/>
            <w:vAlign w:val="bottom"/>
          </w:tcPr>
          <w:p>
            <w:pPr>
              <w:pStyle w:val="TableContents"/>
              <w:bidi w:val="0"/>
              <w:spacing w:before="0" w:after="0"/>
              <w:jc w:val="right"/>
              <w:rPr/>
            </w:pPr>
            <w:r>
              <w:rPr/>
              <w:t>548</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38" w:type="dxa"/>
            <w:tcBorders>
              <w:bottom w:val="single" w:sz="12" w:space="0" w:color="000000"/>
            </w:tcBorders>
            <w:shd w:fill="CCEEFF" w:val="clear"/>
            <w:vAlign w:val="bottom"/>
          </w:tcPr>
          <w:p>
            <w:pPr>
              <w:pStyle w:val="TableContents"/>
              <w:bidi w:val="0"/>
              <w:spacing w:before="0" w:after="283"/>
              <w:jc w:val="left"/>
              <w:rPr/>
            </w:pPr>
            <w:r>
              <w:rPr/>
              <w:t> </w:t>
            </w:r>
          </w:p>
        </w:tc>
        <w:tc>
          <w:tcPr>
            <w:tcW w:w="2027" w:type="dxa"/>
            <w:tcBorders>
              <w:bottom w:val="single" w:sz="12" w:space="0" w:color="000000"/>
            </w:tcBorders>
            <w:shd w:fill="CCEEFF" w:val="clear"/>
            <w:vAlign w:val="bottom"/>
          </w:tcPr>
          <w:p>
            <w:pPr>
              <w:pStyle w:val="TableContents"/>
              <w:bidi w:val="0"/>
              <w:spacing w:before="0" w:after="0"/>
              <w:jc w:val="right"/>
              <w:rPr/>
            </w:pPr>
            <w:r>
              <w:rPr/>
              <w:t>1,299</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vAlign w:val="bottom"/>
          </w:tcPr>
          <w:p>
            <w:pPr>
              <w:pStyle w:val="TableContents"/>
              <w:bidi w:val="0"/>
              <w:spacing w:before="0" w:after="283"/>
              <w:jc w:val="left"/>
              <w:rPr/>
            </w:pPr>
            <w:r>
              <w:rPr/>
              <w:t> </w:t>
            </w:r>
          </w:p>
        </w:tc>
        <w:tc>
          <w:tcPr>
            <w:tcW w:w="2298" w:type="dxa"/>
            <w:tcBorders>
              <w:bottom w:val="single" w:sz="12" w:space="0" w:color="000000"/>
            </w:tcBorders>
            <w:shd w:fill="CCEEFF" w:val="clear"/>
            <w:vAlign w:val="bottom"/>
          </w:tcPr>
          <w:p>
            <w:pPr>
              <w:pStyle w:val="TableContents"/>
              <w:bidi w:val="0"/>
              <w:spacing w:before="0" w:after="283"/>
              <w:jc w:val="right"/>
              <w:rPr/>
            </w:pPr>
            <w:r>
              <w:rPr/>
              <w:t> </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88" w:type="dxa"/>
            <w:tcBorders>
              <w:bottom w:val="single" w:sz="12" w:space="0" w:color="000000"/>
            </w:tcBorders>
            <w:shd w:fill="CCEEFF" w:val="clear"/>
            <w:vAlign w:val="bottom"/>
          </w:tcPr>
          <w:p>
            <w:pPr>
              <w:pStyle w:val="TableContents"/>
              <w:bidi w:val="0"/>
              <w:spacing w:before="0" w:after="283"/>
              <w:jc w:val="left"/>
              <w:rPr/>
            </w:pPr>
            <w:r>
              <w:rPr/>
              <w:t> </w:t>
            </w:r>
          </w:p>
        </w:tc>
        <w:tc>
          <w:tcPr>
            <w:tcW w:w="2192" w:type="dxa"/>
            <w:tcBorders>
              <w:bottom w:val="single" w:sz="12" w:space="0" w:color="000000"/>
            </w:tcBorders>
            <w:shd w:fill="CCEEFF" w:val="clear"/>
            <w:vAlign w:val="bottom"/>
          </w:tcPr>
          <w:p>
            <w:pPr>
              <w:pStyle w:val="TableContents"/>
              <w:bidi w:val="0"/>
              <w:spacing w:before="0" w:after="283"/>
              <w:jc w:val="right"/>
              <w:rPr/>
            </w:pPr>
            <w:r>
              <w:rPr/>
              <w:t> </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59" w:type="dxa"/>
            <w:tcBorders>
              <w:bottom w:val="single" w:sz="12" w:space="0" w:color="000000"/>
            </w:tcBorders>
            <w:shd w:fill="CCEEFF" w:val="clear"/>
            <w:vAlign w:val="bottom"/>
          </w:tcPr>
          <w:p>
            <w:pPr>
              <w:pStyle w:val="TableContents"/>
              <w:bidi w:val="0"/>
              <w:spacing w:before="0" w:after="283"/>
              <w:jc w:val="left"/>
              <w:rPr/>
            </w:pPr>
            <w:r>
              <w:rPr/>
              <w:t> </w:t>
            </w:r>
          </w:p>
        </w:tc>
        <w:tc>
          <w:tcPr>
            <w:tcW w:w="2321" w:type="dxa"/>
            <w:tcBorders>
              <w:bottom w:val="single" w:sz="12" w:space="0" w:color="000000"/>
            </w:tcBorders>
            <w:shd w:fill="CCEEFF" w:val="clear"/>
            <w:vAlign w:val="bottom"/>
          </w:tcPr>
          <w:p>
            <w:pPr>
              <w:pStyle w:val="TableContents"/>
              <w:bidi w:val="0"/>
              <w:spacing w:before="0" w:after="283"/>
              <w:jc w:val="right"/>
              <w:rPr/>
            </w:pPr>
            <w:r>
              <w:rPr/>
              <w:t> </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vAlign w:val="bottom"/>
          </w:tcPr>
          <w:p>
            <w:pPr>
              <w:pStyle w:val="TableContents"/>
              <w:bidi w:val="0"/>
              <w:spacing w:before="0" w:after="283"/>
              <w:jc w:val="left"/>
              <w:rPr/>
            </w:pPr>
            <w:r>
              <w:rPr/>
              <w:t> </w:t>
            </w:r>
          </w:p>
        </w:tc>
        <w:tc>
          <w:tcPr>
            <w:tcW w:w="2298" w:type="dxa"/>
            <w:tcBorders>
              <w:bottom w:val="single" w:sz="12" w:space="0" w:color="000000"/>
            </w:tcBorders>
            <w:shd w:fill="CCEEFF" w:val="clear"/>
            <w:vAlign w:val="bottom"/>
          </w:tcPr>
          <w:p>
            <w:pPr>
              <w:pStyle w:val="TableContents"/>
              <w:bidi w:val="0"/>
              <w:spacing w:before="0" w:after="283"/>
              <w:jc w:val="right"/>
              <w:rPr/>
            </w:pPr>
            <w:r>
              <w:rPr/>
              <w:t> </w:t>
            </w:r>
          </w:p>
        </w:tc>
        <w:tc>
          <w:tcPr>
            <w:tcW w:w="15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77" w:type="dxa"/>
            <w:tcBorders>
              <w:bottom w:val="single" w:sz="12" w:space="0" w:color="000000"/>
            </w:tcBorders>
            <w:shd w:fill="CCEEFF" w:val="clear"/>
            <w:vAlign w:val="bottom"/>
          </w:tcPr>
          <w:p>
            <w:pPr>
              <w:pStyle w:val="TableContents"/>
              <w:bidi w:val="0"/>
              <w:spacing w:before="0" w:after="283"/>
              <w:jc w:val="left"/>
              <w:rPr/>
            </w:pPr>
            <w:r>
              <w:rPr/>
              <w:t> </w:t>
            </w:r>
          </w:p>
        </w:tc>
        <w:tc>
          <w:tcPr>
            <w:tcW w:w="1128" w:type="dxa"/>
            <w:tcBorders>
              <w:bottom w:val="single" w:sz="12" w:space="0" w:color="000000"/>
            </w:tcBorders>
            <w:shd w:fill="CCEEFF" w:val="clear"/>
            <w:vAlign w:val="bottom"/>
          </w:tcPr>
          <w:p>
            <w:pPr>
              <w:pStyle w:val="TableContents"/>
              <w:bidi w:val="0"/>
              <w:spacing w:before="0" w:after="0"/>
              <w:jc w:val="right"/>
              <w:rPr/>
            </w:pPr>
            <w:r>
              <w:rPr/>
              <w:t>1,299</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890" w:type="dxa"/>
            <w:tcBorders>
              <w:bottom w:val="single" w:sz="12" w:space="0" w:color="000000"/>
            </w:tcBorders>
            <w:vAlign w:val="bottom"/>
          </w:tcPr>
          <w:p>
            <w:pPr>
              <w:pStyle w:val="TableContents"/>
              <w:bidi w:val="0"/>
              <w:spacing w:before="0" w:after="0"/>
              <w:jc w:val="left"/>
              <w:rPr>
                <w:b/>
              </w:rPr>
            </w:pPr>
            <w:r>
              <w:rPr>
                <w:b/>
              </w:rPr>
              <w:t>Total current liabilities</w:t>
            </w:r>
          </w:p>
        </w:tc>
        <w:tc>
          <w:tcPr>
            <w:tcW w:w="60" w:type="dxa"/>
            <w:tcBorders>
              <w:bottom w:val="single" w:sz="12" w:space="0" w:color="000000"/>
            </w:tcBorders>
            <w:vAlign w:val="bottom"/>
          </w:tcPr>
          <w:p>
            <w:pPr>
              <w:pStyle w:val="TableContents"/>
              <w:bidi w:val="0"/>
              <w:spacing w:before="0" w:after="283"/>
              <w:jc w:val="left"/>
              <w:rPr/>
            </w:pPr>
            <w:r>
              <w:rPr/>
              <w:t> </w:t>
            </w:r>
          </w:p>
        </w:tc>
        <w:tc>
          <w:tcPr>
            <w:tcW w:w="169" w:type="dxa"/>
            <w:tcBorders>
              <w:bottom w:val="single" w:sz="12" w:space="0" w:color="000000"/>
            </w:tcBorders>
            <w:vAlign w:val="bottom"/>
          </w:tcPr>
          <w:p>
            <w:pPr>
              <w:pStyle w:val="TableContents"/>
              <w:bidi w:val="0"/>
              <w:spacing w:before="0" w:after="283"/>
              <w:jc w:val="left"/>
              <w:rPr/>
            </w:pPr>
            <w:r>
              <w:rPr/>
              <w:t> </w:t>
            </w:r>
          </w:p>
        </w:tc>
        <w:tc>
          <w:tcPr>
            <w:tcW w:w="2266" w:type="dxa"/>
            <w:tcBorders>
              <w:bottom w:val="single" w:sz="12" w:space="0" w:color="000000"/>
            </w:tcBorders>
            <w:vAlign w:val="bottom"/>
          </w:tcPr>
          <w:p>
            <w:pPr>
              <w:pStyle w:val="TableContents"/>
              <w:bidi w:val="0"/>
              <w:spacing w:before="0" w:after="0"/>
              <w:jc w:val="right"/>
              <w:rPr>
                <w:b/>
              </w:rPr>
            </w:pPr>
            <w:r>
              <w:rPr>
                <w:b/>
              </w:rPr>
              <w:t>19,788</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85" w:type="dxa"/>
            <w:tcBorders>
              <w:bottom w:val="single" w:sz="12" w:space="0" w:color="000000"/>
            </w:tcBorders>
            <w:vAlign w:val="bottom"/>
          </w:tcPr>
          <w:p>
            <w:pPr>
              <w:pStyle w:val="TableContents"/>
              <w:bidi w:val="0"/>
              <w:spacing w:before="0" w:after="283"/>
              <w:jc w:val="left"/>
              <w:rPr/>
            </w:pPr>
            <w:r>
              <w:rPr/>
              <w:t> </w:t>
            </w:r>
          </w:p>
        </w:tc>
        <w:tc>
          <w:tcPr>
            <w:tcW w:w="1240" w:type="dxa"/>
            <w:tcBorders>
              <w:bottom w:val="single" w:sz="12" w:space="0" w:color="000000"/>
            </w:tcBorders>
            <w:vAlign w:val="bottom"/>
          </w:tcPr>
          <w:p>
            <w:pPr>
              <w:pStyle w:val="TableContents"/>
              <w:bidi w:val="0"/>
              <w:spacing w:before="0" w:after="0"/>
              <w:jc w:val="right"/>
              <w:rPr>
                <w:b/>
              </w:rPr>
            </w:pPr>
            <w:r>
              <w:rPr>
                <w:b/>
              </w:rPr>
              <w:t>4,572</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38" w:type="dxa"/>
            <w:tcBorders>
              <w:bottom w:val="single" w:sz="12" w:space="0" w:color="000000"/>
            </w:tcBorders>
            <w:vAlign w:val="bottom"/>
          </w:tcPr>
          <w:p>
            <w:pPr>
              <w:pStyle w:val="TableContents"/>
              <w:bidi w:val="0"/>
              <w:spacing w:before="0" w:after="283"/>
              <w:jc w:val="left"/>
              <w:rPr/>
            </w:pPr>
            <w:r>
              <w:rPr/>
              <w:t> </w:t>
            </w:r>
          </w:p>
        </w:tc>
        <w:tc>
          <w:tcPr>
            <w:tcW w:w="2027" w:type="dxa"/>
            <w:tcBorders>
              <w:bottom w:val="single" w:sz="12" w:space="0" w:color="000000"/>
            </w:tcBorders>
            <w:vAlign w:val="bottom"/>
          </w:tcPr>
          <w:p>
            <w:pPr>
              <w:pStyle w:val="TableContents"/>
              <w:bidi w:val="0"/>
              <w:spacing w:before="0" w:after="0"/>
              <w:jc w:val="right"/>
              <w:rPr>
                <w:b/>
              </w:rPr>
            </w:pPr>
            <w:r>
              <w:rPr>
                <w:b/>
              </w:rPr>
              <w:t>24,360</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82" w:type="dxa"/>
            <w:tcBorders>
              <w:bottom w:val="single" w:sz="12" w:space="0" w:color="000000"/>
            </w:tcBorders>
            <w:vAlign w:val="bottom"/>
          </w:tcPr>
          <w:p>
            <w:pPr>
              <w:pStyle w:val="TableContents"/>
              <w:bidi w:val="0"/>
              <w:spacing w:before="0" w:after="283"/>
              <w:jc w:val="left"/>
              <w:rPr/>
            </w:pPr>
            <w:r>
              <w:rPr/>
              <w:t> </w:t>
            </w:r>
          </w:p>
        </w:tc>
        <w:tc>
          <w:tcPr>
            <w:tcW w:w="2298" w:type="dxa"/>
            <w:tcBorders>
              <w:bottom w:val="single" w:sz="12" w:space="0" w:color="000000"/>
            </w:tcBorders>
            <w:vAlign w:val="bottom"/>
          </w:tcPr>
          <w:p>
            <w:pPr>
              <w:pStyle w:val="TableContents"/>
              <w:bidi w:val="0"/>
              <w:spacing w:before="0" w:after="0"/>
              <w:jc w:val="right"/>
              <w:rPr>
                <w:b/>
              </w:rPr>
            </w:pPr>
            <w:r>
              <w:rPr>
                <w:b/>
              </w:rPr>
              <w:t>-</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88" w:type="dxa"/>
            <w:tcBorders>
              <w:bottom w:val="single" w:sz="12" w:space="0" w:color="000000"/>
            </w:tcBorders>
            <w:vAlign w:val="bottom"/>
          </w:tcPr>
          <w:p>
            <w:pPr>
              <w:pStyle w:val="TableContents"/>
              <w:bidi w:val="0"/>
              <w:spacing w:before="0" w:after="283"/>
              <w:jc w:val="left"/>
              <w:rPr/>
            </w:pPr>
            <w:r>
              <w:rPr/>
              <w:t> </w:t>
            </w:r>
          </w:p>
        </w:tc>
        <w:tc>
          <w:tcPr>
            <w:tcW w:w="2192" w:type="dxa"/>
            <w:tcBorders>
              <w:bottom w:val="single" w:sz="12" w:space="0" w:color="000000"/>
            </w:tcBorders>
            <w:vAlign w:val="bottom"/>
          </w:tcPr>
          <w:p>
            <w:pPr>
              <w:pStyle w:val="TableContents"/>
              <w:bidi w:val="0"/>
              <w:spacing w:before="0" w:after="0"/>
              <w:jc w:val="right"/>
              <w:rPr>
                <w:b/>
              </w:rPr>
            </w:pPr>
            <w:r>
              <w:rPr>
                <w:b/>
              </w:rPr>
              <w:t>302</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59" w:type="dxa"/>
            <w:tcBorders>
              <w:bottom w:val="single" w:sz="12" w:space="0" w:color="000000"/>
            </w:tcBorders>
            <w:vAlign w:val="bottom"/>
          </w:tcPr>
          <w:p>
            <w:pPr>
              <w:pStyle w:val="TableContents"/>
              <w:bidi w:val="0"/>
              <w:spacing w:before="0" w:after="283"/>
              <w:jc w:val="left"/>
              <w:rPr/>
            </w:pPr>
            <w:r>
              <w:rPr/>
              <w:t> </w:t>
            </w:r>
          </w:p>
        </w:tc>
        <w:tc>
          <w:tcPr>
            <w:tcW w:w="2321" w:type="dxa"/>
            <w:tcBorders>
              <w:bottom w:val="single" w:sz="12" w:space="0" w:color="000000"/>
            </w:tcBorders>
            <w:vAlign w:val="bottom"/>
          </w:tcPr>
          <w:p>
            <w:pPr>
              <w:pStyle w:val="TableContents"/>
              <w:bidi w:val="0"/>
              <w:spacing w:before="0" w:after="0"/>
              <w:jc w:val="right"/>
              <w:rPr>
                <w:b/>
              </w:rPr>
            </w:pPr>
            <w:r>
              <w:rPr>
                <w:b/>
              </w:rPr>
              <w:t>-</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82" w:type="dxa"/>
            <w:tcBorders>
              <w:bottom w:val="single" w:sz="12" w:space="0" w:color="000000"/>
            </w:tcBorders>
            <w:vAlign w:val="bottom"/>
          </w:tcPr>
          <w:p>
            <w:pPr>
              <w:pStyle w:val="TableContents"/>
              <w:bidi w:val="0"/>
              <w:spacing w:before="0" w:after="283"/>
              <w:jc w:val="left"/>
              <w:rPr/>
            </w:pPr>
            <w:r>
              <w:rPr/>
              <w:t> </w:t>
            </w:r>
          </w:p>
        </w:tc>
        <w:tc>
          <w:tcPr>
            <w:tcW w:w="2298" w:type="dxa"/>
            <w:tcBorders>
              <w:bottom w:val="single" w:sz="12" w:space="0" w:color="000000"/>
            </w:tcBorders>
            <w:vAlign w:val="bottom"/>
          </w:tcPr>
          <w:p>
            <w:pPr>
              <w:pStyle w:val="TableContents"/>
              <w:bidi w:val="0"/>
              <w:spacing w:before="0" w:after="0"/>
              <w:jc w:val="right"/>
              <w:rPr>
                <w:b/>
              </w:rPr>
            </w:pPr>
            <w:r>
              <w:rPr>
                <w:b/>
              </w:rPr>
              <w:t>-</w:t>
            </w:r>
          </w:p>
        </w:tc>
        <w:tc>
          <w:tcPr>
            <w:tcW w:w="15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77" w:type="dxa"/>
            <w:tcBorders>
              <w:bottom w:val="single" w:sz="12" w:space="0" w:color="000000"/>
            </w:tcBorders>
            <w:vAlign w:val="bottom"/>
          </w:tcPr>
          <w:p>
            <w:pPr>
              <w:pStyle w:val="TableContents"/>
              <w:bidi w:val="0"/>
              <w:spacing w:before="0" w:after="283"/>
              <w:jc w:val="left"/>
              <w:rPr/>
            </w:pPr>
            <w:r>
              <w:rPr/>
              <w:t> </w:t>
            </w:r>
          </w:p>
        </w:tc>
        <w:tc>
          <w:tcPr>
            <w:tcW w:w="1128" w:type="dxa"/>
            <w:tcBorders>
              <w:bottom w:val="single" w:sz="12" w:space="0" w:color="000000"/>
            </w:tcBorders>
            <w:vAlign w:val="bottom"/>
          </w:tcPr>
          <w:p>
            <w:pPr>
              <w:pStyle w:val="TableContents"/>
              <w:bidi w:val="0"/>
              <w:spacing w:before="0" w:after="0"/>
              <w:jc w:val="right"/>
              <w:rPr>
                <w:b/>
              </w:rPr>
            </w:pPr>
            <w:r>
              <w:rPr>
                <w:b/>
              </w:rPr>
              <w:t>24,662</w:t>
            </w:r>
          </w:p>
        </w:tc>
        <w:tc>
          <w:tcPr>
            <w:tcW w:w="95" w:type="dxa"/>
            <w:tcBorders/>
            <w:tcMar>
              <w:bottom w:w="0" w:type="dxa"/>
            </w:tcMar>
            <w:vAlign w:val="bottom"/>
          </w:tcPr>
          <w:p>
            <w:pPr>
              <w:pStyle w:val="TableContents"/>
              <w:bidi w:val="0"/>
              <w:spacing w:before="0" w:after="283"/>
              <w:jc w:val="left"/>
              <w:rPr/>
            </w:pPr>
            <w:r>
              <w:rPr/>
              <w:t> </w:t>
            </w:r>
          </w:p>
        </w:tc>
      </w:tr>
      <w:tr>
        <w:trPr/>
        <w:tc>
          <w:tcPr>
            <w:tcW w:w="6890" w:type="dxa"/>
            <w:tcBorders/>
            <w:shd w:fill="CCEEFF" w:val="clear"/>
            <w:tcMar>
              <w:bottom w:w="0" w:type="dxa"/>
            </w:tcMar>
            <w:vAlign w:val="bottom"/>
          </w:tcPr>
          <w:p>
            <w:pPr>
              <w:pStyle w:val="TableContents"/>
              <w:bidi w:val="0"/>
              <w:spacing w:before="0" w:after="0"/>
              <w:jc w:val="left"/>
              <w:rPr/>
            </w:pPr>
            <w:r>
              <w:rPr/>
              <w:t>Operating lease liabilities, noncurrent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2266" w:type="dxa"/>
            <w:tcBorders/>
            <w:shd w:fill="CCEEFF" w:val="clear"/>
            <w:tcMar>
              <w:bottom w:w="0" w:type="dxa"/>
            </w:tcMar>
            <w:vAlign w:val="bottom"/>
          </w:tcPr>
          <w:p>
            <w:pPr>
              <w:pStyle w:val="TableContents"/>
              <w:bidi w:val="0"/>
              <w:spacing w:before="0" w:after="0"/>
              <w:jc w:val="right"/>
              <w:rPr/>
            </w:pPr>
            <w:r>
              <w:rPr/>
              <w:t>72</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5" w:type="dxa"/>
            <w:tcBorders/>
            <w:shd w:fill="CCEEFF" w:val="clear"/>
            <w:tcMar>
              <w:bottom w:w="0" w:type="dxa"/>
            </w:tcMar>
            <w:vAlign w:val="bottom"/>
          </w:tcPr>
          <w:p>
            <w:pPr>
              <w:pStyle w:val="TableContents"/>
              <w:bidi w:val="0"/>
              <w:spacing w:before="0" w:after="283"/>
              <w:jc w:val="left"/>
              <w:rPr/>
            </w:pPr>
            <w:r>
              <w:rPr/>
              <w:t> </w:t>
            </w:r>
          </w:p>
        </w:tc>
        <w:tc>
          <w:tcPr>
            <w:tcW w:w="1240" w:type="dxa"/>
            <w:tcBorders/>
            <w:shd w:fill="CCEEFF" w:val="clear"/>
            <w:tcMar>
              <w:bottom w:w="0" w:type="dxa"/>
            </w:tcMar>
            <w:vAlign w:val="bottom"/>
          </w:tcPr>
          <w:p>
            <w:pPr>
              <w:pStyle w:val="TableContents"/>
              <w:bidi w:val="0"/>
              <w:spacing w:before="0" w:after="0"/>
              <w:jc w:val="right"/>
              <w:rPr/>
            </w:pPr>
            <w:r>
              <w:rPr/>
              <w:t>2,157</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2027" w:type="dxa"/>
            <w:tcBorders/>
            <w:shd w:fill="CCEEFF" w:val="clear"/>
            <w:tcMar>
              <w:bottom w:w="0" w:type="dxa"/>
            </w:tcMar>
            <w:vAlign w:val="bottom"/>
          </w:tcPr>
          <w:p>
            <w:pPr>
              <w:pStyle w:val="TableContents"/>
              <w:bidi w:val="0"/>
              <w:spacing w:before="0" w:after="0"/>
              <w:jc w:val="right"/>
              <w:rPr/>
            </w:pPr>
            <w:r>
              <w:rPr/>
              <w:t>2,229</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88" w:type="dxa"/>
            <w:tcBorders/>
            <w:shd w:fill="CCEEFF" w:val="clear"/>
            <w:tcMar>
              <w:bottom w:w="0" w:type="dxa"/>
            </w:tcMar>
            <w:vAlign w:val="bottom"/>
          </w:tcPr>
          <w:p>
            <w:pPr>
              <w:pStyle w:val="TableContents"/>
              <w:bidi w:val="0"/>
              <w:spacing w:before="0" w:after="283"/>
              <w:jc w:val="left"/>
              <w:rPr/>
            </w:pPr>
            <w:r>
              <w:rPr/>
              <w:t> </w:t>
            </w:r>
          </w:p>
        </w:tc>
        <w:tc>
          <w:tcPr>
            <w:tcW w:w="2192"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2321"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283"/>
              <w:jc w:val="righ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7" w:type="dxa"/>
            <w:tcBorders/>
            <w:shd w:fill="CCEEFF" w:val="clear"/>
            <w:tcMar>
              <w:bottom w:w="0" w:type="dxa"/>
            </w:tcMar>
            <w:vAlign w:val="bottom"/>
          </w:tcPr>
          <w:p>
            <w:pPr>
              <w:pStyle w:val="TableContents"/>
              <w:bidi w:val="0"/>
              <w:spacing w:before="0" w:after="283"/>
              <w:jc w:val="left"/>
              <w:rPr/>
            </w:pPr>
            <w:r>
              <w:rPr/>
              <w:t> </w:t>
            </w:r>
          </w:p>
        </w:tc>
        <w:tc>
          <w:tcPr>
            <w:tcW w:w="1128" w:type="dxa"/>
            <w:tcBorders/>
            <w:shd w:fill="CCEEFF" w:val="clear"/>
            <w:tcMar>
              <w:bottom w:w="0" w:type="dxa"/>
            </w:tcMar>
            <w:vAlign w:val="bottom"/>
          </w:tcPr>
          <w:p>
            <w:pPr>
              <w:pStyle w:val="TableContents"/>
              <w:bidi w:val="0"/>
              <w:spacing w:before="0" w:after="0"/>
              <w:jc w:val="right"/>
              <w:rPr/>
            </w:pPr>
            <w:r>
              <w:rPr/>
              <w:t>2,229</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890" w:type="dxa"/>
            <w:tcBorders/>
            <w:tcMar>
              <w:bottom w:w="0" w:type="dxa"/>
            </w:tcMar>
            <w:vAlign w:val="bottom"/>
          </w:tcPr>
          <w:p>
            <w:pPr>
              <w:pStyle w:val="TableContents"/>
              <w:bidi w:val="0"/>
              <w:spacing w:before="0" w:after="0"/>
              <w:jc w:val="left"/>
              <w:rPr/>
            </w:pPr>
            <w:r>
              <w:rPr/>
              <w:t>Deferred government grants</w:t>
            </w:r>
          </w:p>
        </w:tc>
        <w:tc>
          <w:tcPr>
            <w:tcW w:w="60" w:type="dxa"/>
            <w:tcBorders/>
            <w:tcMar>
              <w:bottom w:w="0" w:type="dxa"/>
            </w:tcMar>
            <w:vAlign w:val="bottom"/>
          </w:tcPr>
          <w:p>
            <w:pPr>
              <w:pStyle w:val="TableContents"/>
              <w:bidi w:val="0"/>
              <w:spacing w:before="0" w:after="283"/>
              <w:jc w:val="left"/>
              <w:rPr/>
            </w:pPr>
            <w:r>
              <w:rPr/>
              <w:t> </w:t>
            </w:r>
          </w:p>
        </w:tc>
        <w:tc>
          <w:tcPr>
            <w:tcW w:w="169" w:type="dxa"/>
            <w:tcBorders/>
            <w:tcMar>
              <w:bottom w:w="0" w:type="dxa"/>
            </w:tcMar>
            <w:vAlign w:val="bottom"/>
          </w:tcPr>
          <w:p>
            <w:pPr>
              <w:pStyle w:val="TableContents"/>
              <w:bidi w:val="0"/>
              <w:spacing w:before="0" w:after="283"/>
              <w:jc w:val="left"/>
              <w:rPr/>
            </w:pPr>
            <w:r>
              <w:rPr/>
              <w:t> </w:t>
            </w:r>
          </w:p>
        </w:tc>
        <w:tc>
          <w:tcPr>
            <w:tcW w:w="2266" w:type="dxa"/>
            <w:tcBorders/>
            <w:tcMar>
              <w:bottom w:w="0" w:type="dxa"/>
            </w:tcMar>
            <w:vAlign w:val="bottom"/>
          </w:tcPr>
          <w:p>
            <w:pPr>
              <w:pStyle w:val="TableContents"/>
              <w:bidi w:val="0"/>
              <w:spacing w:before="0" w:after="0"/>
              <w:jc w:val="right"/>
              <w:rPr/>
            </w:pPr>
            <w:r>
              <w:rPr/>
              <w:t>840</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5" w:type="dxa"/>
            <w:tcBorders/>
            <w:tcMar>
              <w:bottom w:w="0" w:type="dxa"/>
            </w:tcMar>
            <w:vAlign w:val="bottom"/>
          </w:tcPr>
          <w:p>
            <w:pPr>
              <w:pStyle w:val="TableContents"/>
              <w:bidi w:val="0"/>
              <w:spacing w:before="0" w:after="283"/>
              <w:jc w:val="left"/>
              <w:rPr/>
            </w:pPr>
            <w:r>
              <w:rPr/>
              <w:t> </w:t>
            </w:r>
          </w:p>
        </w:tc>
        <w:tc>
          <w:tcPr>
            <w:tcW w:w="1240" w:type="dxa"/>
            <w:tcBorders/>
            <w:tcMar>
              <w:bottom w:w="0" w:type="dxa"/>
            </w:tcMar>
            <w:vAlign w:val="bottom"/>
          </w:tcPr>
          <w:p>
            <w:pPr>
              <w:pStyle w:val="TableContents"/>
              <w:bidi w:val="0"/>
              <w:spacing w:before="0" w:after="0"/>
              <w:jc w:val="right"/>
              <w:rPr/>
            </w:pPr>
            <w:r>
              <w:rPr/>
              <w:t>-</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2027" w:type="dxa"/>
            <w:tcBorders/>
            <w:tcMar>
              <w:bottom w:w="0" w:type="dxa"/>
            </w:tcMar>
            <w:vAlign w:val="bottom"/>
          </w:tcPr>
          <w:p>
            <w:pPr>
              <w:pStyle w:val="TableContents"/>
              <w:bidi w:val="0"/>
              <w:spacing w:before="0" w:after="0"/>
              <w:jc w:val="right"/>
              <w:rPr/>
            </w:pPr>
            <w:r>
              <w:rPr/>
              <w:t>840</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88" w:type="dxa"/>
            <w:tcBorders/>
            <w:tcMar>
              <w:bottom w:w="0" w:type="dxa"/>
            </w:tcMar>
            <w:vAlign w:val="bottom"/>
          </w:tcPr>
          <w:p>
            <w:pPr>
              <w:pStyle w:val="TableContents"/>
              <w:bidi w:val="0"/>
              <w:spacing w:before="0" w:after="283"/>
              <w:jc w:val="left"/>
              <w:rPr/>
            </w:pPr>
            <w:r>
              <w:rPr/>
              <w:t> </w:t>
            </w:r>
          </w:p>
        </w:tc>
        <w:tc>
          <w:tcPr>
            <w:tcW w:w="2192"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2321"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7" w:type="dxa"/>
            <w:tcBorders/>
            <w:tcMar>
              <w:bottom w:w="0" w:type="dxa"/>
            </w:tcMar>
            <w:vAlign w:val="bottom"/>
          </w:tcPr>
          <w:p>
            <w:pPr>
              <w:pStyle w:val="TableContents"/>
              <w:bidi w:val="0"/>
              <w:spacing w:before="0" w:after="283"/>
              <w:jc w:val="left"/>
              <w:rPr/>
            </w:pPr>
            <w:r>
              <w:rPr/>
              <w:t> </w:t>
            </w:r>
          </w:p>
        </w:tc>
        <w:tc>
          <w:tcPr>
            <w:tcW w:w="1128" w:type="dxa"/>
            <w:tcBorders/>
            <w:tcMar>
              <w:bottom w:w="0" w:type="dxa"/>
            </w:tcMar>
            <w:vAlign w:val="bottom"/>
          </w:tcPr>
          <w:p>
            <w:pPr>
              <w:pStyle w:val="TableContents"/>
              <w:bidi w:val="0"/>
              <w:spacing w:before="0" w:after="0"/>
              <w:jc w:val="right"/>
              <w:rPr/>
            </w:pPr>
            <w:r>
              <w:rPr/>
              <w:t>840</w:t>
            </w:r>
          </w:p>
        </w:tc>
        <w:tc>
          <w:tcPr>
            <w:tcW w:w="95" w:type="dxa"/>
            <w:tcBorders/>
            <w:tcMar>
              <w:bottom w:w="0" w:type="dxa"/>
            </w:tcMar>
            <w:vAlign w:val="bottom"/>
          </w:tcPr>
          <w:p>
            <w:pPr>
              <w:pStyle w:val="TableContents"/>
              <w:bidi w:val="0"/>
              <w:spacing w:before="0" w:after="283"/>
              <w:jc w:val="left"/>
              <w:rPr/>
            </w:pPr>
            <w:r>
              <w:rPr/>
              <w:t> </w:t>
            </w:r>
          </w:p>
        </w:tc>
      </w:tr>
      <w:tr>
        <w:trPr/>
        <w:tc>
          <w:tcPr>
            <w:tcW w:w="6890" w:type="dxa"/>
            <w:tcBorders/>
            <w:shd w:fill="CCEEFF" w:val="clear"/>
            <w:tcMar>
              <w:bottom w:w="0" w:type="dxa"/>
            </w:tcMar>
            <w:vAlign w:val="bottom"/>
          </w:tcPr>
          <w:p>
            <w:pPr>
              <w:pStyle w:val="TableContents"/>
              <w:bidi w:val="0"/>
              <w:spacing w:before="0" w:after="0"/>
              <w:jc w:val="left"/>
              <w:rPr/>
            </w:pPr>
            <w:r>
              <w:rPr/>
              <w:t>Warrant liability, noncurrent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2266" w:type="dxa"/>
            <w:tcBorders/>
            <w:shd w:fill="CCEEFF" w:val="clear"/>
            <w:tcMar>
              <w:bottom w:w="0" w:type="dxa"/>
            </w:tcMar>
            <w:vAlign w:val="bottom"/>
          </w:tcPr>
          <w:p>
            <w:pPr>
              <w:pStyle w:val="TableContents"/>
              <w:bidi w:val="0"/>
              <w:spacing w:before="0" w:after="0"/>
              <w:jc w:val="right"/>
              <w:rPr/>
            </w:pPr>
            <w:r>
              <w:rPr/>
              <w:t>2,872</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5" w:type="dxa"/>
            <w:tcBorders/>
            <w:shd w:fill="CCEEFF" w:val="clear"/>
            <w:tcMar>
              <w:bottom w:w="0" w:type="dxa"/>
            </w:tcMar>
            <w:vAlign w:val="bottom"/>
          </w:tcPr>
          <w:p>
            <w:pPr>
              <w:pStyle w:val="TableContents"/>
              <w:bidi w:val="0"/>
              <w:spacing w:before="0" w:after="283"/>
              <w:jc w:val="left"/>
              <w:rPr/>
            </w:pPr>
            <w:r>
              <w:rPr/>
              <w:t> </w:t>
            </w:r>
          </w:p>
        </w:tc>
        <w:tc>
          <w:tcPr>
            <w:tcW w:w="1240" w:type="dxa"/>
            <w:tcBorders/>
            <w:shd w:fill="CCEEFF" w:val="clear"/>
            <w:tcMar>
              <w:bottom w:w="0" w:type="dxa"/>
            </w:tcMar>
            <w:vAlign w:val="bottom"/>
          </w:tcPr>
          <w:p>
            <w:pPr>
              <w:pStyle w:val="TableContents"/>
              <w:bidi w:val="0"/>
              <w:spacing w:before="0" w:after="0"/>
              <w:jc w:val="right"/>
              <w:rPr/>
            </w:pPr>
            <w:r>
              <w:rPr/>
              <w:t>-</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2027" w:type="dxa"/>
            <w:tcBorders/>
            <w:shd w:fill="CCEEFF" w:val="clear"/>
            <w:tcMar>
              <w:bottom w:w="0" w:type="dxa"/>
            </w:tcMar>
            <w:vAlign w:val="bottom"/>
          </w:tcPr>
          <w:p>
            <w:pPr>
              <w:pStyle w:val="TableContents"/>
              <w:bidi w:val="0"/>
              <w:spacing w:before="0" w:after="0"/>
              <w:jc w:val="right"/>
              <w:rPr/>
            </w:pPr>
            <w:r>
              <w:rPr/>
              <w:t>2,872</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88" w:type="dxa"/>
            <w:tcBorders/>
            <w:shd w:fill="CCEEFF" w:val="clear"/>
            <w:tcMar>
              <w:bottom w:w="0" w:type="dxa"/>
            </w:tcMar>
            <w:vAlign w:val="bottom"/>
          </w:tcPr>
          <w:p>
            <w:pPr>
              <w:pStyle w:val="TableContents"/>
              <w:bidi w:val="0"/>
              <w:spacing w:before="0" w:after="283"/>
              <w:jc w:val="left"/>
              <w:rPr/>
            </w:pPr>
            <w:r>
              <w:rPr/>
              <w:t> </w:t>
            </w:r>
          </w:p>
        </w:tc>
        <w:tc>
          <w:tcPr>
            <w:tcW w:w="2192"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2321"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283"/>
              <w:jc w:val="righ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7" w:type="dxa"/>
            <w:tcBorders/>
            <w:shd w:fill="CCEEFF" w:val="clear"/>
            <w:tcMar>
              <w:bottom w:w="0" w:type="dxa"/>
            </w:tcMar>
            <w:vAlign w:val="bottom"/>
          </w:tcPr>
          <w:p>
            <w:pPr>
              <w:pStyle w:val="TableContents"/>
              <w:bidi w:val="0"/>
              <w:spacing w:before="0" w:after="283"/>
              <w:jc w:val="left"/>
              <w:rPr/>
            </w:pPr>
            <w:r>
              <w:rPr/>
              <w:t> </w:t>
            </w:r>
          </w:p>
        </w:tc>
        <w:tc>
          <w:tcPr>
            <w:tcW w:w="1128" w:type="dxa"/>
            <w:tcBorders/>
            <w:shd w:fill="CCEEFF" w:val="clear"/>
            <w:tcMar>
              <w:bottom w:w="0" w:type="dxa"/>
            </w:tcMar>
            <w:vAlign w:val="bottom"/>
          </w:tcPr>
          <w:p>
            <w:pPr>
              <w:pStyle w:val="TableContents"/>
              <w:bidi w:val="0"/>
              <w:spacing w:before="0" w:after="0"/>
              <w:jc w:val="right"/>
              <w:rPr/>
            </w:pPr>
            <w:r>
              <w:rPr/>
              <w:t>2,872</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890" w:type="dxa"/>
            <w:tcBorders>
              <w:bottom w:val="single" w:sz="12" w:space="0" w:color="000000"/>
            </w:tcBorders>
            <w:vAlign w:val="bottom"/>
          </w:tcPr>
          <w:p>
            <w:pPr>
              <w:pStyle w:val="TableContents"/>
              <w:bidi w:val="0"/>
              <w:spacing w:before="0" w:after="0"/>
              <w:jc w:val="left"/>
              <w:rPr/>
            </w:pPr>
            <w:r>
              <w:rPr/>
              <w:t>Other noncurrent liabilities</w:t>
            </w:r>
          </w:p>
        </w:tc>
        <w:tc>
          <w:tcPr>
            <w:tcW w:w="60" w:type="dxa"/>
            <w:tcBorders>
              <w:bottom w:val="single" w:sz="12" w:space="0" w:color="000000"/>
            </w:tcBorders>
            <w:vAlign w:val="bottom"/>
          </w:tcPr>
          <w:p>
            <w:pPr>
              <w:pStyle w:val="TableContents"/>
              <w:bidi w:val="0"/>
              <w:spacing w:before="0" w:after="283"/>
              <w:jc w:val="left"/>
              <w:rPr/>
            </w:pPr>
            <w:r>
              <w:rPr/>
              <w:t> </w:t>
            </w:r>
          </w:p>
        </w:tc>
        <w:tc>
          <w:tcPr>
            <w:tcW w:w="169" w:type="dxa"/>
            <w:tcBorders>
              <w:bottom w:val="single" w:sz="12" w:space="0" w:color="000000"/>
            </w:tcBorders>
            <w:vAlign w:val="bottom"/>
          </w:tcPr>
          <w:p>
            <w:pPr>
              <w:pStyle w:val="TableContents"/>
              <w:bidi w:val="0"/>
              <w:spacing w:before="0" w:after="283"/>
              <w:jc w:val="left"/>
              <w:rPr/>
            </w:pPr>
            <w:r>
              <w:rPr/>
              <w:t> </w:t>
            </w:r>
          </w:p>
        </w:tc>
        <w:tc>
          <w:tcPr>
            <w:tcW w:w="2266" w:type="dxa"/>
            <w:tcBorders>
              <w:bottom w:val="single" w:sz="12" w:space="0" w:color="000000"/>
            </w:tcBorders>
            <w:vAlign w:val="bottom"/>
          </w:tcPr>
          <w:p>
            <w:pPr>
              <w:pStyle w:val="TableContents"/>
              <w:bidi w:val="0"/>
              <w:spacing w:before="0" w:after="0"/>
              <w:jc w:val="right"/>
              <w:rPr/>
            </w:pPr>
            <w:r>
              <w:rPr/>
              <w:t>1,458</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85" w:type="dxa"/>
            <w:tcBorders>
              <w:bottom w:val="single" w:sz="12" w:space="0" w:color="000000"/>
            </w:tcBorders>
            <w:vAlign w:val="bottom"/>
          </w:tcPr>
          <w:p>
            <w:pPr>
              <w:pStyle w:val="TableContents"/>
              <w:bidi w:val="0"/>
              <w:spacing w:before="0" w:after="283"/>
              <w:jc w:val="left"/>
              <w:rPr/>
            </w:pPr>
            <w:r>
              <w:rPr/>
              <w:t> </w:t>
            </w:r>
          </w:p>
        </w:tc>
        <w:tc>
          <w:tcPr>
            <w:tcW w:w="1240" w:type="dxa"/>
            <w:tcBorders>
              <w:bottom w:val="single" w:sz="12" w:space="0" w:color="000000"/>
            </w:tcBorders>
            <w:vAlign w:val="bottom"/>
          </w:tcPr>
          <w:p>
            <w:pPr>
              <w:pStyle w:val="TableContents"/>
              <w:bidi w:val="0"/>
              <w:spacing w:before="0" w:after="0"/>
              <w:jc w:val="right"/>
              <w:rPr/>
            </w:pPr>
            <w:r>
              <w:rPr/>
              <w:t>58</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38" w:type="dxa"/>
            <w:tcBorders>
              <w:bottom w:val="single" w:sz="12" w:space="0" w:color="000000"/>
            </w:tcBorders>
            <w:vAlign w:val="bottom"/>
          </w:tcPr>
          <w:p>
            <w:pPr>
              <w:pStyle w:val="TableContents"/>
              <w:bidi w:val="0"/>
              <w:spacing w:before="0" w:after="283"/>
              <w:jc w:val="left"/>
              <w:rPr/>
            </w:pPr>
            <w:r>
              <w:rPr/>
              <w:t> </w:t>
            </w:r>
          </w:p>
        </w:tc>
        <w:tc>
          <w:tcPr>
            <w:tcW w:w="2027" w:type="dxa"/>
            <w:tcBorders>
              <w:bottom w:val="single" w:sz="12" w:space="0" w:color="000000"/>
            </w:tcBorders>
            <w:vAlign w:val="bottom"/>
          </w:tcPr>
          <w:p>
            <w:pPr>
              <w:pStyle w:val="TableContents"/>
              <w:bidi w:val="0"/>
              <w:spacing w:before="0" w:after="0"/>
              <w:jc w:val="right"/>
              <w:rPr/>
            </w:pPr>
            <w:r>
              <w:rPr/>
              <w:t>1,516</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82" w:type="dxa"/>
            <w:tcBorders>
              <w:bottom w:val="single" w:sz="12" w:space="0" w:color="000000"/>
            </w:tcBorders>
            <w:vAlign w:val="bottom"/>
          </w:tcPr>
          <w:p>
            <w:pPr>
              <w:pStyle w:val="TableContents"/>
              <w:bidi w:val="0"/>
              <w:spacing w:before="0" w:after="283"/>
              <w:jc w:val="left"/>
              <w:rPr/>
            </w:pPr>
            <w:r>
              <w:rPr/>
              <w:t> </w:t>
            </w:r>
          </w:p>
        </w:tc>
        <w:tc>
          <w:tcPr>
            <w:tcW w:w="2298" w:type="dxa"/>
            <w:tcBorders>
              <w:bottom w:val="single" w:sz="12" w:space="0" w:color="000000"/>
            </w:tcBorders>
            <w:vAlign w:val="bottom"/>
          </w:tcPr>
          <w:p>
            <w:pPr>
              <w:pStyle w:val="TableContents"/>
              <w:bidi w:val="0"/>
              <w:spacing w:before="0" w:after="283"/>
              <w:jc w:val="right"/>
              <w:rPr/>
            </w:pPr>
            <w:r>
              <w:rPr/>
              <w:t> </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88" w:type="dxa"/>
            <w:tcBorders>
              <w:bottom w:val="single" w:sz="12" w:space="0" w:color="000000"/>
            </w:tcBorders>
            <w:vAlign w:val="bottom"/>
          </w:tcPr>
          <w:p>
            <w:pPr>
              <w:pStyle w:val="TableContents"/>
              <w:bidi w:val="0"/>
              <w:spacing w:before="0" w:after="283"/>
              <w:jc w:val="left"/>
              <w:rPr/>
            </w:pPr>
            <w:r>
              <w:rPr/>
              <w:t> </w:t>
            </w:r>
          </w:p>
        </w:tc>
        <w:tc>
          <w:tcPr>
            <w:tcW w:w="2192" w:type="dxa"/>
            <w:tcBorders>
              <w:bottom w:val="single" w:sz="12" w:space="0" w:color="000000"/>
            </w:tcBorders>
            <w:vAlign w:val="bottom"/>
          </w:tcPr>
          <w:p>
            <w:pPr>
              <w:pStyle w:val="TableContents"/>
              <w:bidi w:val="0"/>
              <w:spacing w:before="0" w:after="283"/>
              <w:jc w:val="right"/>
              <w:rPr/>
            </w:pPr>
            <w:r>
              <w:rPr/>
              <w:t> </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59" w:type="dxa"/>
            <w:tcBorders>
              <w:bottom w:val="single" w:sz="12" w:space="0" w:color="000000"/>
            </w:tcBorders>
            <w:vAlign w:val="bottom"/>
          </w:tcPr>
          <w:p>
            <w:pPr>
              <w:pStyle w:val="TableContents"/>
              <w:bidi w:val="0"/>
              <w:spacing w:before="0" w:after="283"/>
              <w:jc w:val="left"/>
              <w:rPr/>
            </w:pPr>
            <w:r>
              <w:rPr/>
              <w:t> </w:t>
            </w:r>
          </w:p>
        </w:tc>
        <w:tc>
          <w:tcPr>
            <w:tcW w:w="2321" w:type="dxa"/>
            <w:tcBorders>
              <w:bottom w:val="single" w:sz="12" w:space="0" w:color="000000"/>
            </w:tcBorders>
            <w:vAlign w:val="bottom"/>
          </w:tcPr>
          <w:p>
            <w:pPr>
              <w:pStyle w:val="TableContents"/>
              <w:bidi w:val="0"/>
              <w:spacing w:before="0" w:after="283"/>
              <w:jc w:val="right"/>
              <w:rPr/>
            </w:pPr>
            <w:r>
              <w:rPr/>
              <w:t> </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82" w:type="dxa"/>
            <w:tcBorders>
              <w:bottom w:val="single" w:sz="12" w:space="0" w:color="000000"/>
            </w:tcBorders>
            <w:vAlign w:val="bottom"/>
          </w:tcPr>
          <w:p>
            <w:pPr>
              <w:pStyle w:val="TableContents"/>
              <w:bidi w:val="0"/>
              <w:spacing w:before="0" w:after="283"/>
              <w:jc w:val="left"/>
              <w:rPr/>
            </w:pPr>
            <w:r>
              <w:rPr/>
              <w:t> </w:t>
            </w:r>
          </w:p>
        </w:tc>
        <w:tc>
          <w:tcPr>
            <w:tcW w:w="2298" w:type="dxa"/>
            <w:tcBorders>
              <w:bottom w:val="single" w:sz="12" w:space="0" w:color="000000"/>
            </w:tcBorders>
            <w:vAlign w:val="bottom"/>
          </w:tcPr>
          <w:p>
            <w:pPr>
              <w:pStyle w:val="TableContents"/>
              <w:bidi w:val="0"/>
              <w:spacing w:before="0" w:after="283"/>
              <w:jc w:val="right"/>
              <w:rPr/>
            </w:pPr>
            <w:r>
              <w:rPr/>
              <w:t> </w:t>
            </w:r>
          </w:p>
        </w:tc>
        <w:tc>
          <w:tcPr>
            <w:tcW w:w="15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77" w:type="dxa"/>
            <w:tcBorders>
              <w:bottom w:val="single" w:sz="12" w:space="0" w:color="000000"/>
            </w:tcBorders>
            <w:vAlign w:val="bottom"/>
          </w:tcPr>
          <w:p>
            <w:pPr>
              <w:pStyle w:val="TableContents"/>
              <w:bidi w:val="0"/>
              <w:spacing w:before="0" w:after="283"/>
              <w:jc w:val="left"/>
              <w:rPr/>
            </w:pPr>
            <w:r>
              <w:rPr/>
              <w:t> </w:t>
            </w:r>
          </w:p>
        </w:tc>
        <w:tc>
          <w:tcPr>
            <w:tcW w:w="1128" w:type="dxa"/>
            <w:tcBorders>
              <w:bottom w:val="single" w:sz="12" w:space="0" w:color="000000"/>
            </w:tcBorders>
            <w:vAlign w:val="bottom"/>
          </w:tcPr>
          <w:p>
            <w:pPr>
              <w:pStyle w:val="TableContents"/>
              <w:bidi w:val="0"/>
              <w:spacing w:before="0" w:after="0"/>
              <w:jc w:val="right"/>
              <w:rPr/>
            </w:pPr>
            <w:r>
              <w:rPr/>
              <w:t>1,516</w:t>
            </w:r>
          </w:p>
        </w:tc>
        <w:tc>
          <w:tcPr>
            <w:tcW w:w="95" w:type="dxa"/>
            <w:tcBorders/>
            <w:tcMar>
              <w:bottom w:w="0" w:type="dxa"/>
            </w:tcMar>
            <w:vAlign w:val="bottom"/>
          </w:tcPr>
          <w:p>
            <w:pPr>
              <w:pStyle w:val="TableContents"/>
              <w:bidi w:val="0"/>
              <w:spacing w:before="0" w:after="283"/>
              <w:jc w:val="left"/>
              <w:rPr/>
            </w:pPr>
            <w:r>
              <w:rPr/>
              <w:t> </w:t>
            </w:r>
          </w:p>
        </w:tc>
      </w:tr>
      <w:tr>
        <w:trPr/>
        <w:tc>
          <w:tcPr>
            <w:tcW w:w="6890" w:type="dxa"/>
            <w:tcBorders/>
            <w:shd w:fill="CCEEFF" w:val="clear"/>
            <w:tcMar>
              <w:bottom w:w="0" w:type="dxa"/>
            </w:tcMar>
            <w:vAlign w:val="bottom"/>
          </w:tcPr>
          <w:p>
            <w:pPr>
              <w:pStyle w:val="TableContents"/>
              <w:bidi w:val="0"/>
              <w:spacing w:before="0" w:after="0"/>
              <w:jc w:val="left"/>
              <w:rPr>
                <w:b/>
              </w:rPr>
            </w:pPr>
            <w:r>
              <w:rPr>
                <w:b/>
              </w:rPr>
              <w:t>Total liabilities</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2266" w:type="dxa"/>
            <w:tcBorders/>
            <w:shd w:fill="CCEEFF" w:val="clear"/>
            <w:tcMar>
              <w:bottom w:w="0" w:type="dxa"/>
            </w:tcMar>
            <w:vAlign w:val="bottom"/>
          </w:tcPr>
          <w:p>
            <w:pPr>
              <w:pStyle w:val="TableContents"/>
              <w:bidi w:val="0"/>
              <w:spacing w:before="0" w:after="0"/>
              <w:jc w:val="right"/>
              <w:rPr>
                <w:b/>
              </w:rPr>
            </w:pPr>
            <w:r>
              <w:rPr>
                <w:b/>
              </w:rPr>
              <w:t>25,030</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5" w:type="dxa"/>
            <w:tcBorders/>
            <w:shd w:fill="CCEEFF" w:val="clear"/>
            <w:tcMar>
              <w:bottom w:w="0" w:type="dxa"/>
            </w:tcMar>
            <w:vAlign w:val="bottom"/>
          </w:tcPr>
          <w:p>
            <w:pPr>
              <w:pStyle w:val="TableContents"/>
              <w:bidi w:val="0"/>
              <w:spacing w:before="0" w:after="283"/>
              <w:jc w:val="left"/>
              <w:rPr/>
            </w:pPr>
            <w:r>
              <w:rPr/>
              <w:t> </w:t>
            </w:r>
          </w:p>
        </w:tc>
        <w:tc>
          <w:tcPr>
            <w:tcW w:w="1240" w:type="dxa"/>
            <w:tcBorders/>
            <w:shd w:fill="CCEEFF" w:val="clear"/>
            <w:tcMar>
              <w:bottom w:w="0" w:type="dxa"/>
            </w:tcMar>
            <w:vAlign w:val="bottom"/>
          </w:tcPr>
          <w:p>
            <w:pPr>
              <w:pStyle w:val="TableContents"/>
              <w:bidi w:val="0"/>
              <w:spacing w:before="0" w:after="0"/>
              <w:jc w:val="right"/>
              <w:rPr>
                <w:b/>
              </w:rPr>
            </w:pPr>
            <w:r>
              <w:rPr>
                <w:b/>
              </w:rPr>
              <w:t>6,787</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2027" w:type="dxa"/>
            <w:tcBorders/>
            <w:shd w:fill="CCEEFF" w:val="clear"/>
            <w:tcMar>
              <w:bottom w:w="0" w:type="dxa"/>
            </w:tcMar>
            <w:vAlign w:val="bottom"/>
          </w:tcPr>
          <w:p>
            <w:pPr>
              <w:pStyle w:val="TableContents"/>
              <w:bidi w:val="0"/>
              <w:spacing w:before="0" w:after="0"/>
              <w:jc w:val="right"/>
              <w:rPr>
                <w:b/>
              </w:rPr>
            </w:pPr>
            <w:r>
              <w:rPr>
                <w:b/>
              </w:rPr>
              <w:t>31,817</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0"/>
              <w:jc w:val="right"/>
              <w:rPr>
                <w:b/>
              </w:rPr>
            </w:pPr>
            <w:r>
              <w:rPr>
                <w:b/>
              </w:rPr>
              <w:t>-</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88" w:type="dxa"/>
            <w:tcBorders/>
            <w:shd w:fill="CCEEFF" w:val="clear"/>
            <w:tcMar>
              <w:bottom w:w="0" w:type="dxa"/>
            </w:tcMar>
            <w:vAlign w:val="bottom"/>
          </w:tcPr>
          <w:p>
            <w:pPr>
              <w:pStyle w:val="TableContents"/>
              <w:bidi w:val="0"/>
              <w:spacing w:before="0" w:after="283"/>
              <w:jc w:val="left"/>
              <w:rPr/>
            </w:pPr>
            <w:r>
              <w:rPr/>
              <w:t> </w:t>
            </w:r>
          </w:p>
        </w:tc>
        <w:tc>
          <w:tcPr>
            <w:tcW w:w="2192" w:type="dxa"/>
            <w:tcBorders/>
            <w:shd w:fill="CCEEFF" w:val="clear"/>
            <w:tcMar>
              <w:bottom w:w="0" w:type="dxa"/>
            </w:tcMar>
            <w:vAlign w:val="bottom"/>
          </w:tcPr>
          <w:p>
            <w:pPr>
              <w:pStyle w:val="TableContents"/>
              <w:bidi w:val="0"/>
              <w:spacing w:before="0" w:after="0"/>
              <w:jc w:val="right"/>
              <w:rPr>
                <w:b/>
              </w:rPr>
            </w:pPr>
            <w:r>
              <w:rPr>
                <w:b/>
              </w:rPr>
              <w:t>302</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2321" w:type="dxa"/>
            <w:tcBorders/>
            <w:shd w:fill="CCEEFF" w:val="clear"/>
            <w:tcMar>
              <w:bottom w:w="0" w:type="dxa"/>
            </w:tcMar>
            <w:vAlign w:val="bottom"/>
          </w:tcPr>
          <w:p>
            <w:pPr>
              <w:pStyle w:val="TableContents"/>
              <w:bidi w:val="0"/>
              <w:spacing w:before="0" w:after="0"/>
              <w:jc w:val="right"/>
              <w:rPr>
                <w:b/>
              </w:rPr>
            </w:pPr>
            <w:r>
              <w:rPr>
                <w:b/>
              </w:rPr>
              <w:t>-</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0"/>
              <w:jc w:val="right"/>
              <w:rPr>
                <w:b/>
              </w:rPr>
            </w:pPr>
            <w:r>
              <w:rPr>
                <w:b/>
              </w:rPr>
              <w:t>-</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7" w:type="dxa"/>
            <w:tcBorders/>
            <w:shd w:fill="CCEEFF" w:val="clear"/>
            <w:tcMar>
              <w:bottom w:w="0" w:type="dxa"/>
            </w:tcMar>
            <w:vAlign w:val="bottom"/>
          </w:tcPr>
          <w:p>
            <w:pPr>
              <w:pStyle w:val="TableContents"/>
              <w:bidi w:val="0"/>
              <w:spacing w:before="0" w:after="283"/>
              <w:jc w:val="left"/>
              <w:rPr/>
            </w:pPr>
            <w:r>
              <w:rPr/>
              <w:t> </w:t>
            </w:r>
          </w:p>
        </w:tc>
        <w:tc>
          <w:tcPr>
            <w:tcW w:w="1128" w:type="dxa"/>
            <w:tcBorders/>
            <w:shd w:fill="CCEEFF" w:val="clear"/>
            <w:tcMar>
              <w:bottom w:w="0" w:type="dxa"/>
            </w:tcMar>
            <w:vAlign w:val="bottom"/>
          </w:tcPr>
          <w:p>
            <w:pPr>
              <w:pStyle w:val="TableContents"/>
              <w:bidi w:val="0"/>
              <w:spacing w:before="0" w:after="0"/>
              <w:jc w:val="right"/>
              <w:rPr>
                <w:b/>
              </w:rPr>
            </w:pPr>
            <w:r>
              <w:rPr>
                <w:b/>
              </w:rPr>
              <w:t>32,119</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890" w:type="dxa"/>
            <w:tcBorders/>
            <w:tcMar>
              <w:bottom w:w="0" w:type="dxa"/>
            </w:tcMar>
            <w:vAlign w:val="bottom"/>
          </w:tcPr>
          <w:p>
            <w:pPr>
              <w:pStyle w:val="TableContents"/>
              <w:bidi w:val="0"/>
              <w:spacing w:before="0" w:after="0"/>
              <w:ind w:left="180" w:right="0" w:hanging="180"/>
              <w:jc w:val="left"/>
              <w:rPr/>
            </w:pPr>
            <w:r>
              <w:rPr/>
              <w:t>Contingently redeemable, convertible preferred stock (mezzanine equity)</w:t>
            </w:r>
          </w:p>
        </w:tc>
        <w:tc>
          <w:tcPr>
            <w:tcW w:w="60" w:type="dxa"/>
            <w:tcBorders/>
            <w:tcMar>
              <w:bottom w:w="0" w:type="dxa"/>
            </w:tcMar>
            <w:vAlign w:val="bottom"/>
          </w:tcPr>
          <w:p>
            <w:pPr>
              <w:pStyle w:val="TableContents"/>
              <w:bidi w:val="0"/>
              <w:spacing w:before="0" w:after="283"/>
              <w:jc w:val="left"/>
              <w:rPr/>
            </w:pPr>
            <w:r>
              <w:rPr/>
              <w:t> </w:t>
            </w:r>
          </w:p>
        </w:tc>
        <w:tc>
          <w:tcPr>
            <w:tcW w:w="169" w:type="dxa"/>
            <w:tcBorders/>
            <w:tcMar>
              <w:bottom w:w="0" w:type="dxa"/>
            </w:tcMar>
            <w:vAlign w:val="bottom"/>
          </w:tcPr>
          <w:p>
            <w:pPr>
              <w:pStyle w:val="TableContents"/>
              <w:bidi w:val="0"/>
              <w:spacing w:before="0" w:after="283"/>
              <w:jc w:val="left"/>
              <w:rPr/>
            </w:pPr>
            <w:r>
              <w:rPr/>
              <w:t> </w:t>
            </w:r>
          </w:p>
        </w:tc>
        <w:tc>
          <w:tcPr>
            <w:tcW w:w="2266" w:type="dxa"/>
            <w:tcBorders/>
            <w:tcMar>
              <w:bottom w:w="0" w:type="dxa"/>
            </w:tcMar>
            <w:vAlign w:val="bottom"/>
          </w:tcPr>
          <w:p>
            <w:pPr>
              <w:pStyle w:val="TableContents"/>
              <w:bidi w:val="0"/>
              <w:spacing w:before="0" w:after="0"/>
              <w:jc w:val="right"/>
              <w:rPr/>
            </w:pPr>
            <w:r>
              <w:rPr/>
              <w:t>-</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5" w:type="dxa"/>
            <w:tcBorders/>
            <w:tcMar>
              <w:bottom w:w="0" w:type="dxa"/>
            </w:tcMar>
            <w:vAlign w:val="bottom"/>
          </w:tcPr>
          <w:p>
            <w:pPr>
              <w:pStyle w:val="TableContents"/>
              <w:bidi w:val="0"/>
              <w:spacing w:before="0" w:after="283"/>
              <w:jc w:val="left"/>
              <w:rPr/>
            </w:pPr>
            <w:r>
              <w:rPr/>
              <w:t> </w:t>
            </w:r>
          </w:p>
        </w:tc>
        <w:tc>
          <w:tcPr>
            <w:tcW w:w="1240" w:type="dxa"/>
            <w:tcBorders/>
            <w:tcMar>
              <w:bottom w:w="0" w:type="dxa"/>
            </w:tcMar>
            <w:vAlign w:val="bottom"/>
          </w:tcPr>
          <w:p>
            <w:pPr>
              <w:pStyle w:val="TableContents"/>
              <w:bidi w:val="0"/>
              <w:spacing w:before="0" w:after="0"/>
              <w:jc w:val="right"/>
              <w:rPr/>
            </w:pPr>
            <w:r>
              <w:rPr/>
              <w:t>177,403</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2027" w:type="dxa"/>
            <w:tcBorders/>
            <w:tcMar>
              <w:bottom w:w="0" w:type="dxa"/>
            </w:tcMar>
            <w:vAlign w:val="bottom"/>
          </w:tcPr>
          <w:p>
            <w:pPr>
              <w:pStyle w:val="TableContents"/>
              <w:bidi w:val="0"/>
              <w:spacing w:before="0" w:after="0"/>
              <w:jc w:val="right"/>
              <w:rPr/>
            </w:pPr>
            <w:r>
              <w:rPr/>
              <w:t>177,403</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0"/>
              <w:jc w:val="right"/>
              <w:rPr/>
            </w:pPr>
            <w:r>
              <w:rPr/>
              <w:t>(61,403</w:t>
            </w:r>
          </w:p>
        </w:tc>
        <w:tc>
          <w:tcPr>
            <w:tcW w:w="95" w:type="dxa"/>
            <w:tcBorders/>
            <w:tcMar>
              <w:bottom w:w="0" w:type="dxa"/>
            </w:tcMar>
            <w:vAlign w:val="bottom"/>
          </w:tcPr>
          <w:p>
            <w:pPr>
              <w:pStyle w:val="TableContents"/>
              <w:bidi w:val="0"/>
              <w:spacing w:before="0" w:after="0"/>
              <w:jc w:val="left"/>
              <w:rPr/>
            </w:pPr>
            <w:r>
              <w:rPr/>
              <w:t>)</w:t>
            </w:r>
          </w:p>
        </w:tc>
        <w:tc>
          <w:tcPr>
            <w:tcW w:w="60" w:type="dxa"/>
            <w:tcBorders/>
            <w:tcMar>
              <w:bottom w:w="0" w:type="dxa"/>
            </w:tcMar>
            <w:vAlign w:val="bottom"/>
          </w:tcPr>
          <w:p>
            <w:pPr>
              <w:pStyle w:val="TableContents"/>
              <w:bidi w:val="0"/>
              <w:spacing w:before="0" w:after="283"/>
              <w:jc w:val="left"/>
              <w:rPr/>
            </w:pPr>
            <w:r>
              <w:rPr/>
              <w:t> </w:t>
            </w:r>
          </w:p>
        </w:tc>
        <w:tc>
          <w:tcPr>
            <w:tcW w:w="288" w:type="dxa"/>
            <w:tcBorders/>
            <w:tcMar>
              <w:bottom w:w="0" w:type="dxa"/>
            </w:tcMar>
            <w:vAlign w:val="bottom"/>
          </w:tcPr>
          <w:p>
            <w:pPr>
              <w:pStyle w:val="TableContents"/>
              <w:bidi w:val="0"/>
              <w:spacing w:before="0" w:after="283"/>
              <w:jc w:val="left"/>
              <w:rPr/>
            </w:pPr>
            <w:r>
              <w:rPr/>
              <w:t> </w:t>
            </w:r>
          </w:p>
        </w:tc>
        <w:tc>
          <w:tcPr>
            <w:tcW w:w="2192"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2321" w:type="dxa"/>
            <w:tcBorders/>
            <w:tcMar>
              <w:bottom w:w="0" w:type="dxa"/>
            </w:tcMar>
            <w:vAlign w:val="bottom"/>
          </w:tcPr>
          <w:p>
            <w:pPr>
              <w:pStyle w:val="TableContents"/>
              <w:bidi w:val="0"/>
              <w:spacing w:before="0" w:after="0"/>
              <w:jc w:val="right"/>
              <w:rPr/>
            </w:pPr>
            <w:r>
              <w:rPr/>
              <w:t>(116,000</w:t>
            </w:r>
          </w:p>
        </w:tc>
        <w:tc>
          <w:tcPr>
            <w:tcW w:w="95" w:type="dxa"/>
            <w:tcBorders/>
            <w:tcMar>
              <w:bottom w:w="0" w:type="dxa"/>
            </w:tcMar>
            <w:vAlign w:val="bottom"/>
          </w:tcPr>
          <w:p>
            <w:pPr>
              <w:pStyle w:val="TableContents"/>
              <w:bidi w:val="0"/>
              <w:spacing w:before="0" w:after="0"/>
              <w:jc w:val="left"/>
              <w:rPr/>
            </w:pPr>
            <w:r>
              <w:rPr/>
              <w:t>)</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0"/>
              <w:jc w:val="right"/>
              <w:rPr/>
            </w:pPr>
            <w:r>
              <w:rPr/>
              <w:t>22,430</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7" w:type="dxa"/>
            <w:tcBorders/>
            <w:tcMar>
              <w:bottom w:w="0" w:type="dxa"/>
            </w:tcMar>
            <w:vAlign w:val="bottom"/>
          </w:tcPr>
          <w:p>
            <w:pPr>
              <w:pStyle w:val="TableContents"/>
              <w:bidi w:val="0"/>
              <w:spacing w:before="0" w:after="283"/>
              <w:jc w:val="left"/>
              <w:rPr/>
            </w:pPr>
            <w:r>
              <w:rPr/>
              <w:t> </w:t>
            </w:r>
          </w:p>
        </w:tc>
        <w:tc>
          <w:tcPr>
            <w:tcW w:w="1128" w:type="dxa"/>
            <w:tcBorders/>
            <w:tcMar>
              <w:bottom w:w="0" w:type="dxa"/>
            </w:tcMar>
            <w:vAlign w:val="bottom"/>
          </w:tcPr>
          <w:p>
            <w:pPr>
              <w:pStyle w:val="TableContents"/>
              <w:bidi w:val="0"/>
              <w:spacing w:before="0" w:after="0"/>
              <w:jc w:val="right"/>
              <w:rPr/>
            </w:pPr>
            <w:r>
              <w:rPr/>
              <w:t>22,430</w:t>
            </w:r>
          </w:p>
        </w:tc>
        <w:tc>
          <w:tcPr>
            <w:tcW w:w="95" w:type="dxa"/>
            <w:tcBorders/>
            <w:tcMar>
              <w:bottom w:w="0" w:type="dxa"/>
            </w:tcMar>
            <w:vAlign w:val="bottom"/>
          </w:tcPr>
          <w:p>
            <w:pPr>
              <w:pStyle w:val="TableContents"/>
              <w:bidi w:val="0"/>
              <w:spacing w:before="0" w:after="283"/>
              <w:jc w:val="left"/>
              <w:rPr/>
            </w:pPr>
            <w:r>
              <w:rPr/>
              <w:t> </w:t>
            </w:r>
          </w:p>
        </w:tc>
      </w:tr>
      <w:tr>
        <w:trPr/>
        <w:tc>
          <w:tcPr>
            <w:tcW w:w="6890" w:type="dxa"/>
            <w:tcBorders/>
            <w:shd w:fill="CCEEFF" w:val="clear"/>
            <w:tcMar>
              <w:bottom w:w="0" w:type="dxa"/>
            </w:tcMar>
            <w:vAlign w:val="bottom"/>
          </w:tcPr>
          <w:p>
            <w:pPr>
              <w:pStyle w:val="TableContents"/>
              <w:bidi w:val="0"/>
              <w:spacing w:before="0" w:after="0"/>
              <w:jc w:val="left"/>
              <w:rPr/>
            </w:pPr>
            <w:r>
              <w:rPr/>
              <w:t>Common stock</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2266" w:type="dxa"/>
            <w:tcBorders/>
            <w:shd w:fill="CCEEFF" w:val="clear"/>
            <w:tcMar>
              <w:bottom w:w="0" w:type="dxa"/>
            </w:tcMar>
            <w:vAlign w:val="bottom"/>
          </w:tcPr>
          <w:p>
            <w:pPr>
              <w:pStyle w:val="TableContents"/>
              <w:bidi w:val="0"/>
              <w:spacing w:before="0" w:after="0"/>
              <w:jc w:val="right"/>
              <w:rPr/>
            </w:pPr>
            <w:r>
              <w:rPr/>
              <w:t>91</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5" w:type="dxa"/>
            <w:tcBorders/>
            <w:shd w:fill="CCEEFF" w:val="clear"/>
            <w:tcMar>
              <w:bottom w:w="0" w:type="dxa"/>
            </w:tcMar>
            <w:vAlign w:val="bottom"/>
          </w:tcPr>
          <w:p>
            <w:pPr>
              <w:pStyle w:val="TableContents"/>
              <w:bidi w:val="0"/>
              <w:spacing w:before="0" w:after="283"/>
              <w:jc w:val="left"/>
              <w:rPr/>
            </w:pPr>
            <w:r>
              <w:rPr/>
              <w:t> </w:t>
            </w:r>
          </w:p>
        </w:tc>
        <w:tc>
          <w:tcPr>
            <w:tcW w:w="1240" w:type="dxa"/>
            <w:tcBorders/>
            <w:shd w:fill="CCEEFF" w:val="clear"/>
            <w:tcMar>
              <w:bottom w:w="0" w:type="dxa"/>
            </w:tcMar>
            <w:vAlign w:val="bottom"/>
          </w:tcPr>
          <w:p>
            <w:pPr>
              <w:pStyle w:val="TableContents"/>
              <w:bidi w:val="0"/>
              <w:spacing w:before="0" w:after="0"/>
              <w:jc w:val="right"/>
              <w:rPr/>
            </w:pPr>
            <w:r>
              <w:rPr/>
              <w:t>1</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2027" w:type="dxa"/>
            <w:tcBorders/>
            <w:shd w:fill="CCEEFF" w:val="clear"/>
            <w:tcMar>
              <w:bottom w:w="0" w:type="dxa"/>
            </w:tcMar>
            <w:vAlign w:val="bottom"/>
          </w:tcPr>
          <w:p>
            <w:pPr>
              <w:pStyle w:val="TableContents"/>
              <w:bidi w:val="0"/>
              <w:spacing w:before="0" w:after="0"/>
              <w:jc w:val="right"/>
              <w:rPr/>
            </w:pPr>
            <w:r>
              <w:rPr/>
              <w:t>92</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88" w:type="dxa"/>
            <w:tcBorders/>
            <w:shd w:fill="CCEEFF" w:val="clear"/>
            <w:tcMar>
              <w:bottom w:w="0" w:type="dxa"/>
            </w:tcMar>
            <w:vAlign w:val="bottom"/>
          </w:tcPr>
          <w:p>
            <w:pPr>
              <w:pStyle w:val="TableContents"/>
              <w:bidi w:val="0"/>
              <w:spacing w:before="0" w:after="283"/>
              <w:jc w:val="left"/>
              <w:rPr/>
            </w:pPr>
            <w:r>
              <w:rPr/>
              <w:t> </w:t>
            </w:r>
          </w:p>
        </w:tc>
        <w:tc>
          <w:tcPr>
            <w:tcW w:w="2192"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2321" w:type="dxa"/>
            <w:tcBorders/>
            <w:shd w:fill="CCEEFF" w:val="clear"/>
            <w:tcMar>
              <w:bottom w:w="0" w:type="dxa"/>
            </w:tcMar>
            <w:vAlign w:val="bottom"/>
          </w:tcPr>
          <w:p>
            <w:pPr>
              <w:pStyle w:val="TableContents"/>
              <w:bidi w:val="0"/>
              <w:spacing w:before="0" w:after="0"/>
              <w:jc w:val="right"/>
              <w:rPr/>
            </w:pPr>
            <w:r>
              <w:rPr/>
              <w:t>(1</w:t>
            </w:r>
          </w:p>
        </w:tc>
        <w:tc>
          <w:tcPr>
            <w:tcW w:w="95" w:type="dxa"/>
            <w:tcBorders/>
            <w:shd w:fill="CCEEFF" w:val="clear"/>
            <w:tcMar>
              <w:bottom w:w="0" w:type="dxa"/>
            </w:tcMar>
            <w:vAlign w:val="bottom"/>
          </w:tcPr>
          <w:p>
            <w:pPr>
              <w:pStyle w:val="TableContents"/>
              <w:bidi w:val="0"/>
              <w:spacing w:before="0" w:after="0"/>
              <w:jc w:val="left"/>
              <w:rPr/>
            </w:pPr>
            <w:r>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0"/>
              <w:jc w:val="right"/>
              <w:rPr/>
            </w:pPr>
            <w:r>
              <w:rPr/>
              <w:t>14</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7" w:type="dxa"/>
            <w:tcBorders/>
            <w:shd w:fill="CCEEFF" w:val="clear"/>
            <w:tcMar>
              <w:bottom w:w="0" w:type="dxa"/>
            </w:tcMar>
            <w:vAlign w:val="bottom"/>
          </w:tcPr>
          <w:p>
            <w:pPr>
              <w:pStyle w:val="TableContents"/>
              <w:bidi w:val="0"/>
              <w:spacing w:before="0" w:after="283"/>
              <w:jc w:val="left"/>
              <w:rPr/>
            </w:pPr>
            <w:r>
              <w:rPr/>
              <w:t> </w:t>
            </w:r>
          </w:p>
        </w:tc>
        <w:tc>
          <w:tcPr>
            <w:tcW w:w="1128" w:type="dxa"/>
            <w:tcBorders/>
            <w:shd w:fill="CCEEFF" w:val="clear"/>
            <w:tcMar>
              <w:bottom w:w="0" w:type="dxa"/>
            </w:tcMar>
            <w:vAlign w:val="bottom"/>
          </w:tcPr>
          <w:p>
            <w:pPr>
              <w:pStyle w:val="TableContents"/>
              <w:bidi w:val="0"/>
              <w:spacing w:before="0" w:after="0"/>
              <w:jc w:val="right"/>
              <w:rPr/>
            </w:pPr>
            <w:r>
              <w:rPr/>
              <w:t>105</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890" w:type="dxa"/>
            <w:tcBorders/>
            <w:tcMar>
              <w:bottom w:w="0" w:type="dxa"/>
            </w:tcMar>
            <w:vAlign w:val="bottom"/>
          </w:tcPr>
          <w:p>
            <w:pPr>
              <w:pStyle w:val="TableContents"/>
              <w:bidi w:val="0"/>
              <w:spacing w:before="0" w:after="0"/>
              <w:jc w:val="left"/>
              <w:rPr/>
            </w:pPr>
            <w:r>
              <w:rPr/>
              <w:t>Additional paid-in capital</w:t>
            </w:r>
          </w:p>
        </w:tc>
        <w:tc>
          <w:tcPr>
            <w:tcW w:w="60" w:type="dxa"/>
            <w:tcBorders/>
            <w:tcMar>
              <w:bottom w:w="0" w:type="dxa"/>
            </w:tcMar>
            <w:vAlign w:val="bottom"/>
          </w:tcPr>
          <w:p>
            <w:pPr>
              <w:pStyle w:val="TableContents"/>
              <w:bidi w:val="0"/>
              <w:spacing w:before="0" w:after="283"/>
              <w:jc w:val="left"/>
              <w:rPr/>
            </w:pPr>
            <w:r>
              <w:rPr/>
              <w:t> </w:t>
            </w:r>
          </w:p>
        </w:tc>
        <w:tc>
          <w:tcPr>
            <w:tcW w:w="169" w:type="dxa"/>
            <w:tcBorders/>
            <w:tcMar>
              <w:bottom w:w="0" w:type="dxa"/>
            </w:tcMar>
            <w:vAlign w:val="bottom"/>
          </w:tcPr>
          <w:p>
            <w:pPr>
              <w:pStyle w:val="TableContents"/>
              <w:bidi w:val="0"/>
              <w:spacing w:before="0" w:after="283"/>
              <w:jc w:val="left"/>
              <w:rPr/>
            </w:pPr>
            <w:r>
              <w:rPr/>
              <w:t> </w:t>
            </w:r>
          </w:p>
        </w:tc>
        <w:tc>
          <w:tcPr>
            <w:tcW w:w="2266" w:type="dxa"/>
            <w:tcBorders/>
            <w:tcMar>
              <w:bottom w:w="0" w:type="dxa"/>
            </w:tcMar>
            <w:vAlign w:val="bottom"/>
          </w:tcPr>
          <w:p>
            <w:pPr>
              <w:pStyle w:val="TableContents"/>
              <w:bidi w:val="0"/>
              <w:spacing w:before="0" w:after="0"/>
              <w:jc w:val="right"/>
              <w:rPr/>
            </w:pPr>
            <w:r>
              <w:rPr/>
              <w:t>174,651</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5" w:type="dxa"/>
            <w:tcBorders/>
            <w:tcMar>
              <w:bottom w:w="0" w:type="dxa"/>
            </w:tcMar>
            <w:vAlign w:val="bottom"/>
          </w:tcPr>
          <w:p>
            <w:pPr>
              <w:pStyle w:val="TableContents"/>
              <w:bidi w:val="0"/>
              <w:spacing w:before="0" w:after="283"/>
              <w:jc w:val="left"/>
              <w:rPr/>
            </w:pPr>
            <w:r>
              <w:rPr/>
              <w:t> </w:t>
            </w:r>
          </w:p>
        </w:tc>
        <w:tc>
          <w:tcPr>
            <w:tcW w:w="1240" w:type="dxa"/>
            <w:tcBorders/>
            <w:tcMar>
              <w:bottom w:w="0" w:type="dxa"/>
            </w:tcMar>
            <w:vAlign w:val="bottom"/>
          </w:tcPr>
          <w:p>
            <w:pPr>
              <w:pStyle w:val="TableContents"/>
              <w:bidi w:val="0"/>
              <w:spacing w:before="0" w:after="0"/>
              <w:jc w:val="right"/>
              <w:rPr/>
            </w:pPr>
            <w:r>
              <w:rPr/>
              <w:t>5,372</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2027" w:type="dxa"/>
            <w:tcBorders/>
            <w:tcMar>
              <w:bottom w:w="0" w:type="dxa"/>
            </w:tcMar>
            <w:vAlign w:val="bottom"/>
          </w:tcPr>
          <w:p>
            <w:pPr>
              <w:pStyle w:val="TableContents"/>
              <w:bidi w:val="0"/>
              <w:spacing w:before="0" w:after="0"/>
              <w:jc w:val="right"/>
              <w:rPr/>
            </w:pPr>
            <w:r>
              <w:rPr/>
              <w:t>180,023</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88" w:type="dxa"/>
            <w:tcBorders/>
            <w:tcMar>
              <w:bottom w:w="0" w:type="dxa"/>
            </w:tcMar>
            <w:vAlign w:val="bottom"/>
          </w:tcPr>
          <w:p>
            <w:pPr>
              <w:pStyle w:val="TableContents"/>
              <w:bidi w:val="0"/>
              <w:spacing w:before="0" w:after="283"/>
              <w:jc w:val="left"/>
              <w:rPr/>
            </w:pPr>
            <w:r>
              <w:rPr/>
              <w:t> </w:t>
            </w:r>
          </w:p>
        </w:tc>
        <w:tc>
          <w:tcPr>
            <w:tcW w:w="2192"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2321" w:type="dxa"/>
            <w:tcBorders/>
            <w:tcMar>
              <w:bottom w:w="0" w:type="dxa"/>
            </w:tcMar>
            <w:vAlign w:val="bottom"/>
          </w:tcPr>
          <w:p>
            <w:pPr>
              <w:pStyle w:val="TableContents"/>
              <w:bidi w:val="0"/>
              <w:spacing w:before="0" w:after="0"/>
              <w:jc w:val="right"/>
              <w:rPr/>
            </w:pPr>
            <w:r>
              <w:rPr/>
              <w:t>116,001</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0"/>
              <w:jc w:val="right"/>
              <w:rPr/>
            </w:pPr>
            <w:r>
              <w:rPr/>
              <w:t>(22,444</w:t>
            </w:r>
          </w:p>
        </w:tc>
        <w:tc>
          <w:tcPr>
            <w:tcW w:w="155" w:type="dxa"/>
            <w:tcBorders/>
            <w:tcMar>
              <w:bottom w:w="0" w:type="dxa"/>
            </w:tcMar>
            <w:vAlign w:val="bottom"/>
          </w:tcPr>
          <w:p>
            <w:pPr>
              <w:pStyle w:val="TableContents"/>
              <w:bidi w:val="0"/>
              <w:spacing w:before="0" w:after="0"/>
              <w:jc w:val="left"/>
              <w:rPr/>
            </w:pPr>
            <w:r>
              <w:rPr/>
              <w:t>)</w:t>
            </w:r>
          </w:p>
        </w:tc>
        <w:tc>
          <w:tcPr>
            <w:tcW w:w="60" w:type="dxa"/>
            <w:tcBorders/>
            <w:tcMar>
              <w:bottom w:w="0" w:type="dxa"/>
            </w:tcMar>
            <w:vAlign w:val="bottom"/>
          </w:tcPr>
          <w:p>
            <w:pPr>
              <w:pStyle w:val="TableContents"/>
              <w:bidi w:val="0"/>
              <w:spacing w:before="0" w:after="283"/>
              <w:jc w:val="left"/>
              <w:rPr/>
            </w:pPr>
            <w:r>
              <w:rPr/>
              <w:t> </w:t>
            </w:r>
          </w:p>
        </w:tc>
        <w:tc>
          <w:tcPr>
            <w:tcW w:w="77" w:type="dxa"/>
            <w:tcBorders/>
            <w:tcMar>
              <w:bottom w:w="0" w:type="dxa"/>
            </w:tcMar>
            <w:vAlign w:val="bottom"/>
          </w:tcPr>
          <w:p>
            <w:pPr>
              <w:pStyle w:val="TableContents"/>
              <w:bidi w:val="0"/>
              <w:spacing w:before="0" w:after="283"/>
              <w:jc w:val="left"/>
              <w:rPr/>
            </w:pPr>
            <w:r>
              <w:rPr/>
              <w:t> </w:t>
            </w:r>
          </w:p>
        </w:tc>
        <w:tc>
          <w:tcPr>
            <w:tcW w:w="1128" w:type="dxa"/>
            <w:tcBorders/>
            <w:tcMar>
              <w:bottom w:w="0" w:type="dxa"/>
            </w:tcMar>
            <w:vAlign w:val="bottom"/>
          </w:tcPr>
          <w:p>
            <w:pPr>
              <w:pStyle w:val="TableContents"/>
              <w:bidi w:val="0"/>
              <w:spacing w:before="0" w:after="0"/>
              <w:jc w:val="right"/>
              <w:rPr/>
            </w:pPr>
            <w:r>
              <w:rPr/>
              <w:t>273,580</w:t>
            </w:r>
          </w:p>
        </w:tc>
        <w:tc>
          <w:tcPr>
            <w:tcW w:w="95" w:type="dxa"/>
            <w:tcBorders/>
            <w:tcMar>
              <w:bottom w:w="0" w:type="dxa"/>
            </w:tcMar>
            <w:vAlign w:val="bottom"/>
          </w:tcPr>
          <w:p>
            <w:pPr>
              <w:pStyle w:val="TableContents"/>
              <w:bidi w:val="0"/>
              <w:spacing w:before="0" w:after="283"/>
              <w:jc w:val="left"/>
              <w:rPr/>
            </w:pPr>
            <w:r>
              <w:rPr/>
              <w:t> </w:t>
            </w:r>
          </w:p>
        </w:tc>
      </w:tr>
      <w:tr>
        <w:trPr/>
        <w:tc>
          <w:tcPr>
            <w:tcW w:w="6890" w:type="dxa"/>
            <w:tcBorders/>
            <w:shd w:fill="CCEEFF" w:val="clear"/>
            <w:tcMar>
              <w:bottom w:w="0" w:type="dxa"/>
            </w:tcMar>
            <w:vAlign w:val="bottom"/>
          </w:tcPr>
          <w:p>
            <w:pPr>
              <w:pStyle w:val="TableContents"/>
              <w:bidi w:val="0"/>
              <w:spacing w:before="0" w:after="0"/>
              <w:jc w:val="left"/>
              <w:rPr/>
            </w:pPr>
            <w:r>
              <w:rPr/>
              <w:t>Statutory reserve</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9" w:type="dxa"/>
            <w:tcBorders/>
            <w:shd w:fill="CCEEFF" w:val="clear"/>
            <w:tcMar>
              <w:bottom w:w="0" w:type="dxa"/>
            </w:tcMar>
            <w:vAlign w:val="bottom"/>
          </w:tcPr>
          <w:p>
            <w:pPr>
              <w:pStyle w:val="TableContents"/>
              <w:bidi w:val="0"/>
              <w:spacing w:before="0" w:after="283"/>
              <w:jc w:val="left"/>
              <w:rPr/>
            </w:pPr>
            <w:r>
              <w:rPr/>
              <w:t> </w:t>
            </w:r>
          </w:p>
        </w:tc>
        <w:tc>
          <w:tcPr>
            <w:tcW w:w="2266" w:type="dxa"/>
            <w:tcBorders/>
            <w:shd w:fill="CCEEFF" w:val="clear"/>
            <w:tcMar>
              <w:bottom w:w="0" w:type="dxa"/>
            </w:tcMar>
            <w:vAlign w:val="bottom"/>
          </w:tcPr>
          <w:p>
            <w:pPr>
              <w:pStyle w:val="TableContents"/>
              <w:bidi w:val="0"/>
              <w:spacing w:before="0" w:after="0"/>
              <w:jc w:val="right"/>
              <w:rPr/>
            </w:pPr>
            <w:r>
              <w:rPr/>
              <w:t>3,648</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5" w:type="dxa"/>
            <w:tcBorders/>
            <w:shd w:fill="CCEEFF" w:val="clear"/>
            <w:tcMar>
              <w:bottom w:w="0" w:type="dxa"/>
            </w:tcMar>
            <w:vAlign w:val="bottom"/>
          </w:tcPr>
          <w:p>
            <w:pPr>
              <w:pStyle w:val="TableContents"/>
              <w:bidi w:val="0"/>
              <w:spacing w:before="0" w:after="283"/>
              <w:jc w:val="left"/>
              <w:rPr/>
            </w:pPr>
            <w:r>
              <w:rPr/>
              <w:t> </w:t>
            </w:r>
          </w:p>
        </w:tc>
        <w:tc>
          <w:tcPr>
            <w:tcW w:w="1240" w:type="dxa"/>
            <w:tcBorders/>
            <w:shd w:fill="CCEEFF" w:val="clear"/>
            <w:tcMar>
              <w:bottom w:w="0" w:type="dxa"/>
            </w:tcMar>
            <w:vAlign w:val="bottom"/>
          </w:tcPr>
          <w:p>
            <w:pPr>
              <w:pStyle w:val="TableContents"/>
              <w:bidi w:val="0"/>
              <w:spacing w:before="0" w:after="0"/>
              <w:jc w:val="right"/>
              <w:rPr/>
            </w:pPr>
            <w:r>
              <w:rPr/>
              <w:t>-</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2027" w:type="dxa"/>
            <w:tcBorders/>
            <w:shd w:fill="CCEEFF" w:val="clear"/>
            <w:tcMar>
              <w:bottom w:w="0" w:type="dxa"/>
            </w:tcMar>
            <w:vAlign w:val="bottom"/>
          </w:tcPr>
          <w:p>
            <w:pPr>
              <w:pStyle w:val="TableContents"/>
              <w:bidi w:val="0"/>
              <w:spacing w:before="0" w:after="0"/>
              <w:jc w:val="right"/>
              <w:rPr/>
            </w:pPr>
            <w:r>
              <w:rPr/>
              <w:t>3,648</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88" w:type="dxa"/>
            <w:tcBorders/>
            <w:shd w:fill="CCEEFF" w:val="clear"/>
            <w:tcMar>
              <w:bottom w:w="0" w:type="dxa"/>
            </w:tcMar>
            <w:vAlign w:val="bottom"/>
          </w:tcPr>
          <w:p>
            <w:pPr>
              <w:pStyle w:val="TableContents"/>
              <w:bidi w:val="0"/>
              <w:spacing w:before="0" w:after="283"/>
              <w:jc w:val="left"/>
              <w:rPr/>
            </w:pPr>
            <w:r>
              <w:rPr/>
              <w:t> </w:t>
            </w:r>
          </w:p>
        </w:tc>
        <w:tc>
          <w:tcPr>
            <w:tcW w:w="2192"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9" w:type="dxa"/>
            <w:tcBorders/>
            <w:shd w:fill="CCEEFF" w:val="clear"/>
            <w:tcMar>
              <w:bottom w:w="0" w:type="dxa"/>
            </w:tcMar>
            <w:vAlign w:val="bottom"/>
          </w:tcPr>
          <w:p>
            <w:pPr>
              <w:pStyle w:val="TableContents"/>
              <w:bidi w:val="0"/>
              <w:spacing w:before="0" w:after="283"/>
              <w:jc w:val="left"/>
              <w:rPr/>
            </w:pPr>
            <w:r>
              <w:rPr/>
              <w:t> </w:t>
            </w:r>
          </w:p>
        </w:tc>
        <w:tc>
          <w:tcPr>
            <w:tcW w:w="2321"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2298" w:type="dxa"/>
            <w:tcBorders/>
            <w:shd w:fill="CCEEFF" w:val="clear"/>
            <w:tcMar>
              <w:bottom w:w="0" w:type="dxa"/>
            </w:tcMar>
            <w:vAlign w:val="bottom"/>
          </w:tcPr>
          <w:p>
            <w:pPr>
              <w:pStyle w:val="TableContents"/>
              <w:bidi w:val="0"/>
              <w:spacing w:before="0" w:after="283"/>
              <w:jc w:val="righ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7" w:type="dxa"/>
            <w:tcBorders/>
            <w:shd w:fill="CCEEFF" w:val="clear"/>
            <w:tcMar>
              <w:bottom w:w="0" w:type="dxa"/>
            </w:tcMar>
            <w:vAlign w:val="bottom"/>
          </w:tcPr>
          <w:p>
            <w:pPr>
              <w:pStyle w:val="TableContents"/>
              <w:bidi w:val="0"/>
              <w:spacing w:before="0" w:after="283"/>
              <w:jc w:val="left"/>
              <w:rPr/>
            </w:pPr>
            <w:r>
              <w:rPr/>
              <w:t> </w:t>
            </w:r>
          </w:p>
        </w:tc>
        <w:tc>
          <w:tcPr>
            <w:tcW w:w="1128" w:type="dxa"/>
            <w:tcBorders/>
            <w:shd w:fill="CCEEFF" w:val="clear"/>
            <w:tcMar>
              <w:bottom w:w="0" w:type="dxa"/>
            </w:tcMar>
            <w:vAlign w:val="bottom"/>
          </w:tcPr>
          <w:p>
            <w:pPr>
              <w:pStyle w:val="TableContents"/>
              <w:bidi w:val="0"/>
              <w:spacing w:before="0" w:after="0"/>
              <w:jc w:val="right"/>
              <w:rPr/>
            </w:pPr>
            <w:r>
              <w:rPr/>
              <w:t>3,648</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890" w:type="dxa"/>
            <w:tcBorders/>
            <w:tcMar>
              <w:bottom w:w="0" w:type="dxa"/>
            </w:tcMar>
            <w:vAlign w:val="bottom"/>
          </w:tcPr>
          <w:p>
            <w:pPr>
              <w:pStyle w:val="TableContents"/>
              <w:bidi w:val="0"/>
              <w:spacing w:before="0" w:after="0"/>
              <w:jc w:val="left"/>
              <w:rPr/>
            </w:pPr>
            <w:r>
              <w:rPr/>
              <w:t>Accumulated deficit</w:t>
            </w:r>
          </w:p>
        </w:tc>
        <w:tc>
          <w:tcPr>
            <w:tcW w:w="60" w:type="dxa"/>
            <w:tcBorders/>
            <w:tcMar>
              <w:bottom w:w="0" w:type="dxa"/>
            </w:tcMar>
            <w:vAlign w:val="bottom"/>
          </w:tcPr>
          <w:p>
            <w:pPr>
              <w:pStyle w:val="TableContents"/>
              <w:bidi w:val="0"/>
              <w:spacing w:before="0" w:after="283"/>
              <w:jc w:val="left"/>
              <w:rPr/>
            </w:pPr>
            <w:r>
              <w:rPr/>
              <w:t> </w:t>
            </w:r>
          </w:p>
        </w:tc>
        <w:tc>
          <w:tcPr>
            <w:tcW w:w="169" w:type="dxa"/>
            <w:tcBorders/>
            <w:tcMar>
              <w:bottom w:w="0" w:type="dxa"/>
            </w:tcMar>
            <w:vAlign w:val="bottom"/>
          </w:tcPr>
          <w:p>
            <w:pPr>
              <w:pStyle w:val="TableContents"/>
              <w:bidi w:val="0"/>
              <w:spacing w:before="0" w:after="283"/>
              <w:jc w:val="left"/>
              <w:rPr/>
            </w:pPr>
            <w:r>
              <w:rPr/>
              <w:t> </w:t>
            </w:r>
          </w:p>
        </w:tc>
        <w:tc>
          <w:tcPr>
            <w:tcW w:w="2266" w:type="dxa"/>
            <w:tcBorders/>
            <w:tcMar>
              <w:bottom w:w="0" w:type="dxa"/>
            </w:tcMar>
            <w:vAlign w:val="bottom"/>
          </w:tcPr>
          <w:p>
            <w:pPr>
              <w:pStyle w:val="TableContents"/>
              <w:bidi w:val="0"/>
              <w:spacing w:before="0" w:after="0"/>
              <w:jc w:val="right"/>
              <w:rPr/>
            </w:pPr>
            <w:r>
              <w:rPr/>
              <w:t>(77,667</w:t>
            </w:r>
          </w:p>
        </w:tc>
        <w:tc>
          <w:tcPr>
            <w:tcW w:w="95" w:type="dxa"/>
            <w:tcBorders/>
            <w:tcMar>
              <w:bottom w:w="0" w:type="dxa"/>
            </w:tcMar>
            <w:vAlign w:val="bottom"/>
          </w:tcPr>
          <w:p>
            <w:pPr>
              <w:pStyle w:val="TableContents"/>
              <w:bidi w:val="0"/>
              <w:spacing w:before="0" w:after="0"/>
              <w:jc w:val="left"/>
              <w:rPr/>
            </w:pPr>
            <w:r>
              <w:rPr/>
              <w:t>)</w:t>
            </w:r>
          </w:p>
        </w:tc>
        <w:tc>
          <w:tcPr>
            <w:tcW w:w="60" w:type="dxa"/>
            <w:tcBorders/>
            <w:tcMar>
              <w:bottom w:w="0" w:type="dxa"/>
            </w:tcMar>
            <w:vAlign w:val="bottom"/>
          </w:tcPr>
          <w:p>
            <w:pPr>
              <w:pStyle w:val="TableContents"/>
              <w:bidi w:val="0"/>
              <w:spacing w:before="0" w:after="283"/>
              <w:jc w:val="left"/>
              <w:rPr/>
            </w:pPr>
            <w:r>
              <w:rPr/>
              <w:t> </w:t>
            </w:r>
          </w:p>
        </w:tc>
        <w:tc>
          <w:tcPr>
            <w:tcW w:w="85" w:type="dxa"/>
            <w:tcBorders/>
            <w:tcMar>
              <w:bottom w:w="0" w:type="dxa"/>
            </w:tcMar>
            <w:vAlign w:val="bottom"/>
          </w:tcPr>
          <w:p>
            <w:pPr>
              <w:pStyle w:val="TableContents"/>
              <w:bidi w:val="0"/>
              <w:spacing w:before="0" w:after="283"/>
              <w:jc w:val="left"/>
              <w:rPr/>
            </w:pPr>
            <w:r>
              <w:rPr/>
              <w:t> </w:t>
            </w:r>
          </w:p>
        </w:tc>
        <w:tc>
          <w:tcPr>
            <w:tcW w:w="1240" w:type="dxa"/>
            <w:tcBorders/>
            <w:tcMar>
              <w:bottom w:w="0" w:type="dxa"/>
            </w:tcMar>
            <w:vAlign w:val="bottom"/>
          </w:tcPr>
          <w:p>
            <w:pPr>
              <w:pStyle w:val="TableContents"/>
              <w:bidi w:val="0"/>
              <w:spacing w:before="0" w:after="0"/>
              <w:jc w:val="right"/>
              <w:rPr/>
            </w:pPr>
            <w:r>
              <w:rPr/>
              <w:t>(144,834</w:t>
            </w:r>
          </w:p>
        </w:tc>
        <w:tc>
          <w:tcPr>
            <w:tcW w:w="95" w:type="dxa"/>
            <w:tcBorders/>
            <w:tcMar>
              <w:bottom w:w="0" w:type="dxa"/>
            </w:tcMar>
            <w:vAlign w:val="bottom"/>
          </w:tcPr>
          <w:p>
            <w:pPr>
              <w:pStyle w:val="TableContents"/>
              <w:bidi w:val="0"/>
              <w:spacing w:before="0" w:after="0"/>
              <w:jc w:val="left"/>
              <w:rPr/>
            </w:pPr>
            <w:r>
              <w:rPr/>
              <w:t>)</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2027" w:type="dxa"/>
            <w:tcBorders/>
            <w:tcMar>
              <w:bottom w:w="0" w:type="dxa"/>
            </w:tcMar>
            <w:vAlign w:val="bottom"/>
          </w:tcPr>
          <w:p>
            <w:pPr>
              <w:pStyle w:val="TableContents"/>
              <w:bidi w:val="0"/>
              <w:spacing w:before="0" w:after="0"/>
              <w:jc w:val="right"/>
              <w:rPr/>
            </w:pPr>
            <w:r>
              <w:rPr/>
              <w:t>(222,501</w:t>
            </w:r>
          </w:p>
        </w:tc>
        <w:tc>
          <w:tcPr>
            <w:tcW w:w="95" w:type="dxa"/>
            <w:tcBorders/>
            <w:tcMar>
              <w:bottom w:w="0" w:type="dxa"/>
            </w:tcMar>
            <w:vAlign w:val="bottom"/>
          </w:tcPr>
          <w:p>
            <w:pPr>
              <w:pStyle w:val="TableContents"/>
              <w:bidi w:val="0"/>
              <w:spacing w:before="0" w:after="0"/>
              <w:jc w:val="left"/>
              <w:rPr/>
            </w:pPr>
            <w:r>
              <w:rPr/>
              <w:t>)</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0"/>
              <w:jc w:val="right"/>
              <w:rPr/>
            </w:pPr>
            <w:r>
              <w:rPr/>
              <w:t>61,403</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88" w:type="dxa"/>
            <w:tcBorders/>
            <w:tcMar>
              <w:bottom w:w="0" w:type="dxa"/>
            </w:tcMar>
            <w:vAlign w:val="bottom"/>
          </w:tcPr>
          <w:p>
            <w:pPr>
              <w:pStyle w:val="TableContents"/>
              <w:bidi w:val="0"/>
              <w:spacing w:before="0" w:after="283"/>
              <w:jc w:val="left"/>
              <w:rPr/>
            </w:pPr>
            <w:r>
              <w:rPr/>
              <w:t> </w:t>
            </w:r>
          </w:p>
        </w:tc>
        <w:tc>
          <w:tcPr>
            <w:tcW w:w="2192" w:type="dxa"/>
            <w:tcBorders/>
            <w:tcMar>
              <w:bottom w:w="0" w:type="dxa"/>
            </w:tcMar>
            <w:vAlign w:val="bottom"/>
          </w:tcPr>
          <w:p>
            <w:pPr>
              <w:pStyle w:val="TableContents"/>
              <w:bidi w:val="0"/>
              <w:spacing w:before="0" w:after="0"/>
              <w:jc w:val="right"/>
              <w:rPr/>
            </w:pPr>
            <w:r>
              <w:rPr/>
              <w:t>(302</w:t>
            </w:r>
          </w:p>
        </w:tc>
        <w:tc>
          <w:tcPr>
            <w:tcW w:w="95" w:type="dxa"/>
            <w:tcBorders/>
            <w:tcMar>
              <w:bottom w:w="0" w:type="dxa"/>
            </w:tcMar>
            <w:vAlign w:val="bottom"/>
          </w:tcPr>
          <w:p>
            <w:pPr>
              <w:pStyle w:val="TableContents"/>
              <w:bidi w:val="0"/>
              <w:spacing w:before="0" w:after="0"/>
              <w:jc w:val="left"/>
              <w:rPr/>
            </w:pPr>
            <w:r>
              <w:rPr/>
              <w:t>)</w:t>
            </w:r>
          </w:p>
        </w:tc>
        <w:tc>
          <w:tcPr>
            <w:tcW w:w="6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2321"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7" w:type="dxa"/>
            <w:tcBorders/>
            <w:tcMar>
              <w:bottom w:w="0" w:type="dxa"/>
            </w:tcMar>
            <w:vAlign w:val="bottom"/>
          </w:tcPr>
          <w:p>
            <w:pPr>
              <w:pStyle w:val="TableContents"/>
              <w:bidi w:val="0"/>
              <w:spacing w:before="0" w:after="283"/>
              <w:jc w:val="left"/>
              <w:rPr/>
            </w:pPr>
            <w:r>
              <w:rPr/>
              <w:t> </w:t>
            </w:r>
          </w:p>
        </w:tc>
        <w:tc>
          <w:tcPr>
            <w:tcW w:w="1128" w:type="dxa"/>
            <w:tcBorders/>
            <w:tcMar>
              <w:bottom w:w="0" w:type="dxa"/>
            </w:tcMar>
            <w:vAlign w:val="bottom"/>
          </w:tcPr>
          <w:p>
            <w:pPr>
              <w:pStyle w:val="TableContents"/>
              <w:bidi w:val="0"/>
              <w:spacing w:before="0" w:after="0"/>
              <w:jc w:val="right"/>
              <w:rPr/>
            </w:pPr>
            <w:r>
              <w:rPr/>
              <w:t>(161,400</w:t>
            </w:r>
          </w:p>
        </w:tc>
        <w:tc>
          <w:tcPr>
            <w:tcW w:w="95" w:type="dxa"/>
            <w:tcBorders/>
            <w:tcMar>
              <w:bottom w:w="0" w:type="dxa"/>
            </w:tcMar>
            <w:vAlign w:val="bottom"/>
          </w:tcPr>
          <w:p>
            <w:pPr>
              <w:pStyle w:val="TableContents"/>
              <w:bidi w:val="0"/>
              <w:spacing w:before="0" w:after="0"/>
              <w:jc w:val="left"/>
              <w:rPr/>
            </w:pPr>
            <w:r>
              <w:rPr/>
              <w:t>)</w:t>
            </w:r>
          </w:p>
        </w:tc>
      </w:tr>
      <w:tr>
        <w:trPr/>
        <w:tc>
          <w:tcPr>
            <w:tcW w:w="6890" w:type="dxa"/>
            <w:tcBorders>
              <w:bottom w:val="single" w:sz="12" w:space="0" w:color="000000"/>
            </w:tcBorders>
            <w:shd w:fill="CCEEFF" w:val="clear"/>
            <w:vAlign w:val="bottom"/>
          </w:tcPr>
          <w:p>
            <w:pPr>
              <w:pStyle w:val="TableContents"/>
              <w:bidi w:val="0"/>
              <w:spacing w:before="0" w:after="0"/>
              <w:jc w:val="left"/>
              <w:rPr/>
            </w:pPr>
            <w:r>
              <w:rPr/>
              <w:t>Accumulated other comprehensive income (loss)</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69" w:type="dxa"/>
            <w:tcBorders>
              <w:bottom w:val="single" w:sz="12" w:space="0" w:color="000000"/>
            </w:tcBorders>
            <w:shd w:fill="CCEEFF" w:val="clear"/>
            <w:vAlign w:val="bottom"/>
          </w:tcPr>
          <w:p>
            <w:pPr>
              <w:pStyle w:val="TableContents"/>
              <w:bidi w:val="0"/>
              <w:spacing w:before="0" w:after="283"/>
              <w:jc w:val="left"/>
              <w:rPr/>
            </w:pPr>
            <w:r>
              <w:rPr/>
              <w:t> </w:t>
            </w:r>
          </w:p>
        </w:tc>
        <w:tc>
          <w:tcPr>
            <w:tcW w:w="2266" w:type="dxa"/>
            <w:tcBorders>
              <w:bottom w:val="single" w:sz="12" w:space="0" w:color="000000"/>
            </w:tcBorders>
            <w:shd w:fill="CCEEFF" w:val="clear"/>
            <w:vAlign w:val="bottom"/>
          </w:tcPr>
          <w:p>
            <w:pPr>
              <w:pStyle w:val="TableContents"/>
              <w:bidi w:val="0"/>
              <w:spacing w:before="0" w:after="0"/>
              <w:jc w:val="right"/>
              <w:rPr/>
            </w:pPr>
            <w:r>
              <w:rPr/>
              <w:t>586</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85" w:type="dxa"/>
            <w:tcBorders>
              <w:bottom w:val="single" w:sz="12" w:space="0" w:color="000000"/>
            </w:tcBorders>
            <w:shd w:fill="CCEEFF" w:val="clear"/>
            <w:vAlign w:val="bottom"/>
          </w:tcPr>
          <w:p>
            <w:pPr>
              <w:pStyle w:val="TableContents"/>
              <w:bidi w:val="0"/>
              <w:spacing w:before="0" w:after="283"/>
              <w:jc w:val="left"/>
              <w:rPr/>
            </w:pPr>
            <w:r>
              <w:rPr/>
              <w:t> </w:t>
            </w:r>
          </w:p>
        </w:tc>
        <w:tc>
          <w:tcPr>
            <w:tcW w:w="1240" w:type="dxa"/>
            <w:tcBorders>
              <w:bottom w:val="single" w:sz="12" w:space="0" w:color="000000"/>
            </w:tcBorders>
            <w:shd w:fill="CCEEFF" w:val="clear"/>
            <w:vAlign w:val="bottom"/>
          </w:tcPr>
          <w:p>
            <w:pPr>
              <w:pStyle w:val="TableContents"/>
              <w:bidi w:val="0"/>
              <w:spacing w:before="0" w:after="0"/>
              <w:jc w:val="right"/>
              <w:rPr/>
            </w:pPr>
            <w:r>
              <w:rPr/>
              <w:t>(177</w:t>
            </w:r>
          </w:p>
        </w:tc>
        <w:tc>
          <w:tcPr>
            <w:tcW w:w="95" w:type="dxa"/>
            <w:tcBorders>
              <w:bottom w:val="single" w:sz="12" w:space="0" w:color="000000"/>
            </w:tcBorders>
            <w:shd w:fill="CCEEFF" w:val="clear"/>
            <w:vAlign w:val="bottom"/>
          </w:tcPr>
          <w:p>
            <w:pPr>
              <w:pStyle w:val="TableContents"/>
              <w:bidi w:val="0"/>
              <w:spacing w:before="0" w:after="0"/>
              <w:jc w:val="left"/>
              <w:rPr/>
            </w:pPr>
            <w:r>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38" w:type="dxa"/>
            <w:tcBorders>
              <w:bottom w:val="single" w:sz="12" w:space="0" w:color="000000"/>
            </w:tcBorders>
            <w:shd w:fill="CCEEFF" w:val="clear"/>
            <w:vAlign w:val="bottom"/>
          </w:tcPr>
          <w:p>
            <w:pPr>
              <w:pStyle w:val="TableContents"/>
              <w:bidi w:val="0"/>
              <w:spacing w:before="0" w:after="283"/>
              <w:jc w:val="left"/>
              <w:rPr/>
            </w:pPr>
            <w:r>
              <w:rPr/>
              <w:t> </w:t>
            </w:r>
          </w:p>
        </w:tc>
        <w:tc>
          <w:tcPr>
            <w:tcW w:w="2027" w:type="dxa"/>
            <w:tcBorders>
              <w:bottom w:val="single" w:sz="12" w:space="0" w:color="000000"/>
            </w:tcBorders>
            <w:shd w:fill="CCEEFF" w:val="clear"/>
            <w:vAlign w:val="bottom"/>
          </w:tcPr>
          <w:p>
            <w:pPr>
              <w:pStyle w:val="TableContents"/>
              <w:bidi w:val="0"/>
              <w:spacing w:before="0" w:after="0"/>
              <w:jc w:val="right"/>
              <w:rPr/>
            </w:pPr>
            <w:r>
              <w:rPr/>
              <w:t>409</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vAlign w:val="bottom"/>
          </w:tcPr>
          <w:p>
            <w:pPr>
              <w:pStyle w:val="TableContents"/>
              <w:bidi w:val="0"/>
              <w:spacing w:before="0" w:after="283"/>
              <w:jc w:val="left"/>
              <w:rPr/>
            </w:pPr>
            <w:r>
              <w:rPr/>
              <w:t> </w:t>
            </w:r>
          </w:p>
        </w:tc>
        <w:tc>
          <w:tcPr>
            <w:tcW w:w="2298" w:type="dxa"/>
            <w:tcBorders>
              <w:bottom w:val="single" w:sz="12" w:space="0" w:color="000000"/>
            </w:tcBorders>
            <w:shd w:fill="CCEEFF" w:val="clear"/>
            <w:vAlign w:val="bottom"/>
          </w:tcPr>
          <w:p>
            <w:pPr>
              <w:pStyle w:val="TableContents"/>
              <w:bidi w:val="0"/>
              <w:spacing w:before="0" w:after="283"/>
              <w:jc w:val="right"/>
              <w:rPr/>
            </w:pPr>
            <w:r>
              <w:rPr/>
              <w:t> </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88" w:type="dxa"/>
            <w:tcBorders>
              <w:bottom w:val="single" w:sz="12" w:space="0" w:color="000000"/>
            </w:tcBorders>
            <w:shd w:fill="CCEEFF" w:val="clear"/>
            <w:vAlign w:val="bottom"/>
          </w:tcPr>
          <w:p>
            <w:pPr>
              <w:pStyle w:val="TableContents"/>
              <w:bidi w:val="0"/>
              <w:spacing w:before="0" w:after="283"/>
              <w:jc w:val="left"/>
              <w:rPr/>
            </w:pPr>
            <w:r>
              <w:rPr/>
              <w:t> </w:t>
            </w:r>
          </w:p>
        </w:tc>
        <w:tc>
          <w:tcPr>
            <w:tcW w:w="2192" w:type="dxa"/>
            <w:tcBorders>
              <w:bottom w:val="single" w:sz="12" w:space="0" w:color="000000"/>
            </w:tcBorders>
            <w:shd w:fill="CCEEFF" w:val="clear"/>
            <w:vAlign w:val="bottom"/>
          </w:tcPr>
          <w:p>
            <w:pPr>
              <w:pStyle w:val="TableContents"/>
              <w:bidi w:val="0"/>
              <w:spacing w:before="0" w:after="283"/>
              <w:jc w:val="right"/>
              <w:rPr/>
            </w:pPr>
            <w:r>
              <w:rPr/>
              <w:t> </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59" w:type="dxa"/>
            <w:tcBorders>
              <w:bottom w:val="single" w:sz="12" w:space="0" w:color="000000"/>
            </w:tcBorders>
            <w:shd w:fill="CCEEFF" w:val="clear"/>
            <w:vAlign w:val="bottom"/>
          </w:tcPr>
          <w:p>
            <w:pPr>
              <w:pStyle w:val="TableContents"/>
              <w:bidi w:val="0"/>
              <w:spacing w:before="0" w:after="283"/>
              <w:jc w:val="left"/>
              <w:rPr/>
            </w:pPr>
            <w:r>
              <w:rPr/>
              <w:t> </w:t>
            </w:r>
          </w:p>
        </w:tc>
        <w:tc>
          <w:tcPr>
            <w:tcW w:w="2321" w:type="dxa"/>
            <w:tcBorders>
              <w:bottom w:val="single" w:sz="12" w:space="0" w:color="000000"/>
            </w:tcBorders>
            <w:shd w:fill="CCEEFF" w:val="clear"/>
            <w:vAlign w:val="bottom"/>
          </w:tcPr>
          <w:p>
            <w:pPr>
              <w:pStyle w:val="TableContents"/>
              <w:bidi w:val="0"/>
              <w:spacing w:before="0" w:after="283"/>
              <w:jc w:val="right"/>
              <w:rPr/>
            </w:pPr>
            <w:r>
              <w:rPr/>
              <w:t> </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vAlign w:val="bottom"/>
          </w:tcPr>
          <w:p>
            <w:pPr>
              <w:pStyle w:val="TableContents"/>
              <w:bidi w:val="0"/>
              <w:spacing w:before="0" w:after="283"/>
              <w:jc w:val="left"/>
              <w:rPr/>
            </w:pPr>
            <w:r>
              <w:rPr/>
              <w:t> </w:t>
            </w:r>
          </w:p>
        </w:tc>
        <w:tc>
          <w:tcPr>
            <w:tcW w:w="2298" w:type="dxa"/>
            <w:tcBorders>
              <w:bottom w:val="single" w:sz="12" w:space="0" w:color="000000"/>
            </w:tcBorders>
            <w:shd w:fill="CCEEFF" w:val="clear"/>
            <w:vAlign w:val="bottom"/>
          </w:tcPr>
          <w:p>
            <w:pPr>
              <w:pStyle w:val="TableContents"/>
              <w:bidi w:val="0"/>
              <w:spacing w:before="0" w:after="283"/>
              <w:jc w:val="right"/>
              <w:rPr/>
            </w:pPr>
            <w:r>
              <w:rPr/>
              <w:t> </w:t>
            </w:r>
          </w:p>
        </w:tc>
        <w:tc>
          <w:tcPr>
            <w:tcW w:w="15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77" w:type="dxa"/>
            <w:tcBorders>
              <w:bottom w:val="single" w:sz="12" w:space="0" w:color="000000"/>
            </w:tcBorders>
            <w:shd w:fill="CCEEFF" w:val="clear"/>
            <w:vAlign w:val="bottom"/>
          </w:tcPr>
          <w:p>
            <w:pPr>
              <w:pStyle w:val="TableContents"/>
              <w:bidi w:val="0"/>
              <w:spacing w:before="0" w:after="283"/>
              <w:jc w:val="left"/>
              <w:rPr/>
            </w:pPr>
            <w:r>
              <w:rPr/>
              <w:t> </w:t>
            </w:r>
          </w:p>
        </w:tc>
        <w:tc>
          <w:tcPr>
            <w:tcW w:w="1128" w:type="dxa"/>
            <w:tcBorders>
              <w:bottom w:val="single" w:sz="12" w:space="0" w:color="000000"/>
            </w:tcBorders>
            <w:shd w:fill="CCEEFF" w:val="clear"/>
            <w:vAlign w:val="bottom"/>
          </w:tcPr>
          <w:p>
            <w:pPr>
              <w:pStyle w:val="TableContents"/>
              <w:bidi w:val="0"/>
              <w:spacing w:before="0" w:after="0"/>
              <w:jc w:val="right"/>
              <w:rPr/>
            </w:pPr>
            <w:r>
              <w:rPr/>
              <w:t>409</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890" w:type="dxa"/>
            <w:tcBorders/>
            <w:tcMar>
              <w:bottom w:w="0" w:type="dxa"/>
            </w:tcMar>
            <w:vAlign w:val="bottom"/>
          </w:tcPr>
          <w:p>
            <w:pPr>
              <w:pStyle w:val="TableContents"/>
              <w:bidi w:val="0"/>
              <w:spacing w:before="0" w:after="0"/>
              <w:jc w:val="left"/>
              <w:rPr>
                <w:b/>
              </w:rPr>
            </w:pPr>
            <w:r>
              <w:rPr>
                <w:b/>
              </w:rPr>
              <w:t>Total stockholders’ equity (deficit)</w:t>
            </w:r>
          </w:p>
        </w:tc>
        <w:tc>
          <w:tcPr>
            <w:tcW w:w="60" w:type="dxa"/>
            <w:tcBorders/>
            <w:tcMar>
              <w:bottom w:w="0" w:type="dxa"/>
            </w:tcMar>
            <w:vAlign w:val="bottom"/>
          </w:tcPr>
          <w:p>
            <w:pPr>
              <w:pStyle w:val="TableContents"/>
              <w:bidi w:val="0"/>
              <w:spacing w:before="0" w:after="283"/>
              <w:jc w:val="left"/>
              <w:rPr/>
            </w:pPr>
            <w:r>
              <w:rPr/>
              <w:t> </w:t>
            </w:r>
          </w:p>
        </w:tc>
        <w:tc>
          <w:tcPr>
            <w:tcW w:w="169" w:type="dxa"/>
            <w:tcBorders/>
            <w:tcMar>
              <w:bottom w:w="0" w:type="dxa"/>
            </w:tcMar>
            <w:vAlign w:val="bottom"/>
          </w:tcPr>
          <w:p>
            <w:pPr>
              <w:pStyle w:val="TableContents"/>
              <w:bidi w:val="0"/>
              <w:spacing w:before="0" w:after="283"/>
              <w:jc w:val="left"/>
              <w:rPr/>
            </w:pPr>
            <w:r>
              <w:rPr/>
              <w:t> </w:t>
            </w:r>
          </w:p>
        </w:tc>
        <w:tc>
          <w:tcPr>
            <w:tcW w:w="2266" w:type="dxa"/>
            <w:tcBorders/>
            <w:tcMar>
              <w:bottom w:w="0" w:type="dxa"/>
            </w:tcMar>
            <w:vAlign w:val="bottom"/>
          </w:tcPr>
          <w:p>
            <w:pPr>
              <w:pStyle w:val="TableContents"/>
              <w:bidi w:val="0"/>
              <w:spacing w:before="0" w:after="0"/>
              <w:jc w:val="right"/>
              <w:rPr>
                <w:b/>
              </w:rPr>
            </w:pPr>
            <w:r>
              <w:rPr>
                <w:b/>
              </w:rPr>
              <w:t>101,309</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5" w:type="dxa"/>
            <w:tcBorders/>
            <w:tcMar>
              <w:bottom w:w="0" w:type="dxa"/>
            </w:tcMar>
            <w:vAlign w:val="bottom"/>
          </w:tcPr>
          <w:p>
            <w:pPr>
              <w:pStyle w:val="TableContents"/>
              <w:bidi w:val="0"/>
              <w:spacing w:before="0" w:after="283"/>
              <w:jc w:val="left"/>
              <w:rPr/>
            </w:pPr>
            <w:r>
              <w:rPr/>
              <w:t> </w:t>
            </w:r>
          </w:p>
        </w:tc>
        <w:tc>
          <w:tcPr>
            <w:tcW w:w="1240" w:type="dxa"/>
            <w:tcBorders/>
            <w:tcMar>
              <w:bottom w:w="0" w:type="dxa"/>
            </w:tcMar>
            <w:vAlign w:val="bottom"/>
          </w:tcPr>
          <w:p>
            <w:pPr>
              <w:pStyle w:val="TableContents"/>
              <w:bidi w:val="0"/>
              <w:spacing w:before="0" w:after="0"/>
              <w:jc w:val="right"/>
              <w:rPr>
                <w:b/>
              </w:rPr>
            </w:pPr>
            <w:r>
              <w:rPr>
                <w:b/>
              </w:rPr>
              <w:t>(139,638</w:t>
            </w:r>
          </w:p>
        </w:tc>
        <w:tc>
          <w:tcPr>
            <w:tcW w:w="95" w:type="dxa"/>
            <w:tcBorders/>
            <w:tcMar>
              <w:bottom w:w="0" w:type="dxa"/>
            </w:tcMar>
            <w:vAlign w:val="bottom"/>
          </w:tcPr>
          <w:p>
            <w:pPr>
              <w:pStyle w:val="TableContents"/>
              <w:bidi w:val="0"/>
              <w:spacing w:before="0" w:after="0"/>
              <w:jc w:val="left"/>
              <w:rPr>
                <w:b/>
              </w:rPr>
            </w:pPr>
            <w:r>
              <w:rPr>
                <w:b/>
              </w:rPr>
              <w:t>)</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2027" w:type="dxa"/>
            <w:tcBorders/>
            <w:tcMar>
              <w:bottom w:w="0" w:type="dxa"/>
            </w:tcMar>
            <w:vAlign w:val="bottom"/>
          </w:tcPr>
          <w:p>
            <w:pPr>
              <w:pStyle w:val="TableContents"/>
              <w:bidi w:val="0"/>
              <w:spacing w:before="0" w:after="0"/>
              <w:jc w:val="right"/>
              <w:rPr>
                <w:b/>
              </w:rPr>
            </w:pPr>
            <w:r>
              <w:rPr>
                <w:b/>
              </w:rPr>
              <w:t>(38,329</w:t>
            </w:r>
          </w:p>
        </w:tc>
        <w:tc>
          <w:tcPr>
            <w:tcW w:w="95" w:type="dxa"/>
            <w:tcBorders/>
            <w:tcMar>
              <w:bottom w:w="0" w:type="dxa"/>
            </w:tcMar>
            <w:vAlign w:val="bottom"/>
          </w:tcPr>
          <w:p>
            <w:pPr>
              <w:pStyle w:val="TableContents"/>
              <w:bidi w:val="0"/>
              <w:spacing w:before="0" w:after="0"/>
              <w:jc w:val="left"/>
              <w:rPr>
                <w:b/>
              </w:rPr>
            </w:pPr>
            <w:r>
              <w:rPr>
                <w:b/>
              </w:rPr>
              <w:t>)</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0"/>
              <w:jc w:val="right"/>
              <w:rPr>
                <w:b/>
              </w:rPr>
            </w:pPr>
            <w:r>
              <w:rPr>
                <w:b/>
              </w:rPr>
              <w:t>61,403</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88" w:type="dxa"/>
            <w:tcBorders/>
            <w:tcMar>
              <w:bottom w:w="0" w:type="dxa"/>
            </w:tcMar>
            <w:vAlign w:val="bottom"/>
          </w:tcPr>
          <w:p>
            <w:pPr>
              <w:pStyle w:val="TableContents"/>
              <w:bidi w:val="0"/>
              <w:spacing w:before="0" w:after="283"/>
              <w:jc w:val="left"/>
              <w:rPr/>
            </w:pPr>
            <w:r>
              <w:rPr/>
              <w:t> </w:t>
            </w:r>
          </w:p>
        </w:tc>
        <w:tc>
          <w:tcPr>
            <w:tcW w:w="2192" w:type="dxa"/>
            <w:tcBorders/>
            <w:tcMar>
              <w:bottom w:w="0" w:type="dxa"/>
            </w:tcMar>
            <w:vAlign w:val="bottom"/>
          </w:tcPr>
          <w:p>
            <w:pPr>
              <w:pStyle w:val="TableContents"/>
              <w:bidi w:val="0"/>
              <w:spacing w:before="0" w:after="0"/>
              <w:jc w:val="right"/>
              <w:rPr>
                <w:b/>
              </w:rPr>
            </w:pPr>
            <w:r>
              <w:rPr>
                <w:b/>
              </w:rPr>
              <w:t>(302</w:t>
            </w:r>
          </w:p>
        </w:tc>
        <w:tc>
          <w:tcPr>
            <w:tcW w:w="95" w:type="dxa"/>
            <w:tcBorders/>
            <w:tcMar>
              <w:bottom w:w="0" w:type="dxa"/>
            </w:tcMar>
            <w:vAlign w:val="bottom"/>
          </w:tcPr>
          <w:p>
            <w:pPr>
              <w:pStyle w:val="TableContents"/>
              <w:bidi w:val="0"/>
              <w:spacing w:before="0" w:after="0"/>
              <w:jc w:val="left"/>
              <w:rPr>
                <w:b/>
              </w:rPr>
            </w:pPr>
            <w:r>
              <w:rPr>
                <w:b/>
              </w:rPr>
              <w:t>)</w:t>
            </w:r>
          </w:p>
        </w:tc>
        <w:tc>
          <w:tcPr>
            <w:tcW w:w="60" w:type="dxa"/>
            <w:tcBorders/>
            <w:tcMar>
              <w:bottom w:w="0" w:type="dxa"/>
            </w:tcMar>
            <w:vAlign w:val="bottom"/>
          </w:tcPr>
          <w:p>
            <w:pPr>
              <w:pStyle w:val="TableContents"/>
              <w:bidi w:val="0"/>
              <w:spacing w:before="0" w:after="283"/>
              <w:jc w:val="left"/>
              <w:rPr/>
            </w:pPr>
            <w:r>
              <w:rPr/>
              <w:t> </w:t>
            </w:r>
          </w:p>
        </w:tc>
        <w:tc>
          <w:tcPr>
            <w:tcW w:w="159" w:type="dxa"/>
            <w:tcBorders/>
            <w:tcMar>
              <w:bottom w:w="0" w:type="dxa"/>
            </w:tcMar>
            <w:vAlign w:val="bottom"/>
          </w:tcPr>
          <w:p>
            <w:pPr>
              <w:pStyle w:val="TableContents"/>
              <w:bidi w:val="0"/>
              <w:spacing w:before="0" w:after="283"/>
              <w:jc w:val="left"/>
              <w:rPr/>
            </w:pPr>
            <w:r>
              <w:rPr/>
              <w:t> </w:t>
            </w:r>
          </w:p>
        </w:tc>
        <w:tc>
          <w:tcPr>
            <w:tcW w:w="2321" w:type="dxa"/>
            <w:tcBorders/>
            <w:tcMar>
              <w:bottom w:w="0" w:type="dxa"/>
            </w:tcMar>
            <w:vAlign w:val="bottom"/>
          </w:tcPr>
          <w:p>
            <w:pPr>
              <w:pStyle w:val="TableContents"/>
              <w:bidi w:val="0"/>
              <w:spacing w:before="0" w:after="0"/>
              <w:jc w:val="right"/>
              <w:rPr>
                <w:b/>
              </w:rPr>
            </w:pPr>
            <w:r>
              <w:rPr>
                <w:b/>
              </w:rPr>
              <w:t>116,000</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2298" w:type="dxa"/>
            <w:tcBorders/>
            <w:tcMar>
              <w:bottom w:w="0" w:type="dxa"/>
            </w:tcMar>
            <w:vAlign w:val="bottom"/>
          </w:tcPr>
          <w:p>
            <w:pPr>
              <w:pStyle w:val="TableContents"/>
              <w:bidi w:val="0"/>
              <w:spacing w:before="0" w:after="0"/>
              <w:jc w:val="right"/>
              <w:rPr>
                <w:b/>
              </w:rPr>
            </w:pPr>
            <w:r>
              <w:rPr>
                <w:b/>
              </w:rPr>
              <w:t>(22,430</w:t>
            </w:r>
          </w:p>
        </w:tc>
        <w:tc>
          <w:tcPr>
            <w:tcW w:w="155" w:type="dxa"/>
            <w:tcBorders/>
            <w:tcMar>
              <w:bottom w:w="0" w:type="dxa"/>
            </w:tcMar>
            <w:vAlign w:val="bottom"/>
          </w:tcPr>
          <w:p>
            <w:pPr>
              <w:pStyle w:val="TableContents"/>
              <w:bidi w:val="0"/>
              <w:spacing w:before="0" w:after="283"/>
              <w:jc w:val="left"/>
              <w:rPr>
                <w:b/>
              </w:rPr>
            </w:pPr>
            <w:r>
              <w:rPr>
                <w:b/>
              </w:rPr>
              <w:t xml:space="preserve">) </w:t>
            </w:r>
          </w:p>
        </w:tc>
        <w:tc>
          <w:tcPr>
            <w:tcW w:w="60" w:type="dxa"/>
            <w:tcBorders/>
            <w:tcMar>
              <w:bottom w:w="0" w:type="dxa"/>
            </w:tcMar>
            <w:vAlign w:val="bottom"/>
          </w:tcPr>
          <w:p>
            <w:pPr>
              <w:pStyle w:val="TableContents"/>
              <w:bidi w:val="0"/>
              <w:spacing w:before="0" w:after="283"/>
              <w:jc w:val="left"/>
              <w:rPr/>
            </w:pPr>
            <w:r>
              <w:rPr/>
              <w:t> </w:t>
            </w:r>
          </w:p>
        </w:tc>
        <w:tc>
          <w:tcPr>
            <w:tcW w:w="77" w:type="dxa"/>
            <w:tcBorders/>
            <w:tcMar>
              <w:bottom w:w="0" w:type="dxa"/>
            </w:tcMar>
            <w:vAlign w:val="bottom"/>
          </w:tcPr>
          <w:p>
            <w:pPr>
              <w:pStyle w:val="TableContents"/>
              <w:bidi w:val="0"/>
              <w:spacing w:before="0" w:after="283"/>
              <w:jc w:val="left"/>
              <w:rPr/>
            </w:pPr>
            <w:r>
              <w:rPr/>
              <w:t> </w:t>
            </w:r>
          </w:p>
        </w:tc>
        <w:tc>
          <w:tcPr>
            <w:tcW w:w="1128" w:type="dxa"/>
            <w:tcBorders/>
            <w:tcMar>
              <w:bottom w:w="0" w:type="dxa"/>
            </w:tcMar>
            <w:vAlign w:val="bottom"/>
          </w:tcPr>
          <w:p>
            <w:pPr>
              <w:pStyle w:val="TableContents"/>
              <w:bidi w:val="0"/>
              <w:spacing w:before="0" w:after="0"/>
              <w:jc w:val="right"/>
              <w:rPr>
                <w:b/>
              </w:rPr>
            </w:pPr>
            <w:r>
              <w:rPr>
                <w:b/>
              </w:rPr>
              <w:t>116,342</w:t>
            </w:r>
          </w:p>
        </w:tc>
        <w:tc>
          <w:tcPr>
            <w:tcW w:w="95" w:type="dxa"/>
            <w:tcBorders/>
            <w:tcMar>
              <w:bottom w:w="0" w:type="dxa"/>
            </w:tcMar>
            <w:vAlign w:val="bottom"/>
          </w:tcPr>
          <w:p>
            <w:pPr>
              <w:pStyle w:val="TableContents"/>
              <w:bidi w:val="0"/>
              <w:spacing w:before="0" w:after="283"/>
              <w:jc w:val="left"/>
              <w:rPr/>
            </w:pPr>
            <w:r>
              <w:rPr/>
              <w:t> </w:t>
            </w:r>
          </w:p>
        </w:tc>
      </w:tr>
      <w:tr>
        <w:trPr/>
        <w:tc>
          <w:tcPr>
            <w:tcW w:w="6890" w:type="dxa"/>
            <w:tcBorders>
              <w:bottom w:val="single" w:sz="12" w:space="0" w:color="000000"/>
            </w:tcBorders>
            <w:shd w:fill="CCEEFF" w:val="clear"/>
            <w:vAlign w:val="bottom"/>
          </w:tcPr>
          <w:p>
            <w:pPr>
              <w:pStyle w:val="TableContents"/>
              <w:bidi w:val="0"/>
              <w:spacing w:before="0" w:after="0"/>
              <w:jc w:val="left"/>
              <w:rPr/>
            </w:pPr>
            <w:r>
              <w:rPr/>
              <w:t>Noncontrolling interest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69" w:type="dxa"/>
            <w:tcBorders>
              <w:bottom w:val="single" w:sz="12" w:space="0" w:color="000000"/>
            </w:tcBorders>
            <w:shd w:fill="CCEEFF" w:val="clear"/>
            <w:vAlign w:val="bottom"/>
          </w:tcPr>
          <w:p>
            <w:pPr>
              <w:pStyle w:val="TableContents"/>
              <w:bidi w:val="0"/>
              <w:spacing w:before="0" w:after="283"/>
              <w:jc w:val="left"/>
              <w:rPr/>
            </w:pPr>
            <w:r>
              <w:rPr/>
              <w:t> </w:t>
            </w:r>
          </w:p>
        </w:tc>
        <w:tc>
          <w:tcPr>
            <w:tcW w:w="2266" w:type="dxa"/>
            <w:tcBorders>
              <w:bottom w:val="single" w:sz="12" w:space="0" w:color="000000"/>
            </w:tcBorders>
            <w:shd w:fill="CCEEFF" w:val="clear"/>
            <w:vAlign w:val="bottom"/>
          </w:tcPr>
          <w:p>
            <w:pPr>
              <w:pStyle w:val="TableContents"/>
              <w:bidi w:val="0"/>
              <w:spacing w:before="0" w:after="0"/>
              <w:jc w:val="right"/>
              <w:rPr/>
            </w:pPr>
            <w:r>
              <w:rPr/>
              <w:t>35,676</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85" w:type="dxa"/>
            <w:tcBorders>
              <w:bottom w:val="single" w:sz="12" w:space="0" w:color="000000"/>
            </w:tcBorders>
            <w:shd w:fill="CCEEFF" w:val="clear"/>
            <w:vAlign w:val="bottom"/>
          </w:tcPr>
          <w:p>
            <w:pPr>
              <w:pStyle w:val="TableContents"/>
              <w:bidi w:val="0"/>
              <w:spacing w:before="0" w:after="283"/>
              <w:jc w:val="left"/>
              <w:rPr/>
            </w:pPr>
            <w:r>
              <w:rPr/>
              <w:t> </w:t>
            </w:r>
          </w:p>
        </w:tc>
        <w:tc>
          <w:tcPr>
            <w:tcW w:w="1240" w:type="dxa"/>
            <w:tcBorders>
              <w:bottom w:val="single" w:sz="12" w:space="0" w:color="000000"/>
            </w:tcBorders>
            <w:shd w:fill="CCEEFF" w:val="clear"/>
            <w:vAlign w:val="bottom"/>
          </w:tcPr>
          <w:p>
            <w:pPr>
              <w:pStyle w:val="TableContents"/>
              <w:bidi w:val="0"/>
              <w:spacing w:before="0" w:after="0"/>
              <w:jc w:val="right"/>
              <w:rPr/>
            </w:pPr>
            <w:r>
              <w:rPr/>
              <w:t>-</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38" w:type="dxa"/>
            <w:tcBorders>
              <w:bottom w:val="single" w:sz="12" w:space="0" w:color="000000"/>
            </w:tcBorders>
            <w:shd w:fill="CCEEFF" w:val="clear"/>
            <w:vAlign w:val="bottom"/>
          </w:tcPr>
          <w:p>
            <w:pPr>
              <w:pStyle w:val="TableContents"/>
              <w:bidi w:val="0"/>
              <w:spacing w:before="0" w:after="283"/>
              <w:jc w:val="left"/>
              <w:rPr/>
            </w:pPr>
            <w:r>
              <w:rPr/>
              <w:t> </w:t>
            </w:r>
          </w:p>
        </w:tc>
        <w:tc>
          <w:tcPr>
            <w:tcW w:w="2027" w:type="dxa"/>
            <w:tcBorders>
              <w:bottom w:val="single" w:sz="12" w:space="0" w:color="000000"/>
            </w:tcBorders>
            <w:shd w:fill="CCEEFF" w:val="clear"/>
            <w:vAlign w:val="bottom"/>
          </w:tcPr>
          <w:p>
            <w:pPr>
              <w:pStyle w:val="TableContents"/>
              <w:bidi w:val="0"/>
              <w:spacing w:before="0" w:after="0"/>
              <w:jc w:val="right"/>
              <w:rPr/>
            </w:pPr>
            <w:r>
              <w:rPr/>
              <w:t>35,676</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vAlign w:val="bottom"/>
          </w:tcPr>
          <w:p>
            <w:pPr>
              <w:pStyle w:val="TableContents"/>
              <w:bidi w:val="0"/>
              <w:spacing w:before="0" w:after="283"/>
              <w:jc w:val="left"/>
              <w:rPr/>
            </w:pPr>
            <w:r>
              <w:rPr/>
              <w:t> </w:t>
            </w:r>
          </w:p>
        </w:tc>
        <w:tc>
          <w:tcPr>
            <w:tcW w:w="2298" w:type="dxa"/>
            <w:tcBorders>
              <w:bottom w:val="single" w:sz="12" w:space="0" w:color="000000"/>
            </w:tcBorders>
            <w:shd w:fill="CCEEFF" w:val="clear"/>
            <w:vAlign w:val="bottom"/>
          </w:tcPr>
          <w:p>
            <w:pPr>
              <w:pStyle w:val="TableContents"/>
              <w:bidi w:val="0"/>
              <w:spacing w:before="0" w:after="283"/>
              <w:jc w:val="right"/>
              <w:rPr/>
            </w:pPr>
            <w:r>
              <w:rPr/>
              <w:t> </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88" w:type="dxa"/>
            <w:tcBorders>
              <w:bottom w:val="single" w:sz="12" w:space="0" w:color="000000"/>
            </w:tcBorders>
            <w:shd w:fill="CCEEFF" w:val="clear"/>
            <w:vAlign w:val="bottom"/>
          </w:tcPr>
          <w:p>
            <w:pPr>
              <w:pStyle w:val="TableContents"/>
              <w:bidi w:val="0"/>
              <w:spacing w:before="0" w:after="283"/>
              <w:jc w:val="left"/>
              <w:rPr/>
            </w:pPr>
            <w:r>
              <w:rPr/>
              <w:t> </w:t>
            </w:r>
          </w:p>
        </w:tc>
        <w:tc>
          <w:tcPr>
            <w:tcW w:w="2192" w:type="dxa"/>
            <w:tcBorders>
              <w:bottom w:val="single" w:sz="12" w:space="0" w:color="000000"/>
            </w:tcBorders>
            <w:shd w:fill="CCEEFF" w:val="clear"/>
            <w:vAlign w:val="bottom"/>
          </w:tcPr>
          <w:p>
            <w:pPr>
              <w:pStyle w:val="TableContents"/>
              <w:bidi w:val="0"/>
              <w:spacing w:before="0" w:after="283"/>
              <w:jc w:val="right"/>
              <w:rPr/>
            </w:pPr>
            <w:r>
              <w:rPr/>
              <w:t> </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59" w:type="dxa"/>
            <w:tcBorders>
              <w:bottom w:val="single" w:sz="12" w:space="0" w:color="000000"/>
            </w:tcBorders>
            <w:shd w:fill="CCEEFF" w:val="clear"/>
            <w:vAlign w:val="bottom"/>
          </w:tcPr>
          <w:p>
            <w:pPr>
              <w:pStyle w:val="TableContents"/>
              <w:bidi w:val="0"/>
              <w:spacing w:before="0" w:after="283"/>
              <w:jc w:val="left"/>
              <w:rPr/>
            </w:pPr>
            <w:r>
              <w:rPr/>
              <w:t> </w:t>
            </w:r>
          </w:p>
        </w:tc>
        <w:tc>
          <w:tcPr>
            <w:tcW w:w="2321" w:type="dxa"/>
            <w:tcBorders>
              <w:bottom w:val="single" w:sz="12" w:space="0" w:color="000000"/>
            </w:tcBorders>
            <w:shd w:fill="CCEEFF" w:val="clear"/>
            <w:vAlign w:val="bottom"/>
          </w:tcPr>
          <w:p>
            <w:pPr>
              <w:pStyle w:val="TableContents"/>
              <w:bidi w:val="0"/>
              <w:spacing w:before="0" w:after="283"/>
              <w:jc w:val="right"/>
              <w:rPr/>
            </w:pPr>
            <w:r>
              <w:rPr/>
              <w:t> </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vAlign w:val="bottom"/>
          </w:tcPr>
          <w:p>
            <w:pPr>
              <w:pStyle w:val="TableContents"/>
              <w:bidi w:val="0"/>
              <w:spacing w:before="0" w:after="283"/>
              <w:jc w:val="left"/>
              <w:rPr/>
            </w:pPr>
            <w:r>
              <w:rPr/>
              <w:t> </w:t>
            </w:r>
          </w:p>
        </w:tc>
        <w:tc>
          <w:tcPr>
            <w:tcW w:w="2298" w:type="dxa"/>
            <w:tcBorders>
              <w:bottom w:val="single" w:sz="12" w:space="0" w:color="000000"/>
            </w:tcBorders>
            <w:shd w:fill="CCEEFF" w:val="clear"/>
            <w:vAlign w:val="bottom"/>
          </w:tcPr>
          <w:p>
            <w:pPr>
              <w:pStyle w:val="TableContents"/>
              <w:bidi w:val="0"/>
              <w:spacing w:before="0" w:after="283"/>
              <w:jc w:val="right"/>
              <w:rPr/>
            </w:pPr>
            <w:r>
              <w:rPr/>
              <w:t> </w:t>
            </w:r>
          </w:p>
        </w:tc>
        <w:tc>
          <w:tcPr>
            <w:tcW w:w="15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77" w:type="dxa"/>
            <w:tcBorders>
              <w:bottom w:val="single" w:sz="12" w:space="0" w:color="000000"/>
            </w:tcBorders>
            <w:shd w:fill="CCEEFF" w:val="clear"/>
            <w:vAlign w:val="bottom"/>
          </w:tcPr>
          <w:p>
            <w:pPr>
              <w:pStyle w:val="TableContents"/>
              <w:bidi w:val="0"/>
              <w:spacing w:before="0" w:after="283"/>
              <w:jc w:val="left"/>
              <w:rPr/>
            </w:pPr>
            <w:r>
              <w:rPr/>
              <w:t> </w:t>
            </w:r>
          </w:p>
        </w:tc>
        <w:tc>
          <w:tcPr>
            <w:tcW w:w="1128" w:type="dxa"/>
            <w:tcBorders>
              <w:bottom w:val="single" w:sz="12" w:space="0" w:color="000000"/>
            </w:tcBorders>
            <w:shd w:fill="CCEEFF" w:val="clear"/>
            <w:vAlign w:val="bottom"/>
          </w:tcPr>
          <w:p>
            <w:pPr>
              <w:pStyle w:val="TableContents"/>
              <w:bidi w:val="0"/>
              <w:spacing w:before="0" w:after="0"/>
              <w:jc w:val="right"/>
              <w:rPr/>
            </w:pPr>
            <w:r>
              <w:rPr/>
              <w:t>35,676</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890" w:type="dxa"/>
            <w:tcBorders>
              <w:bottom w:val="single" w:sz="12" w:space="0" w:color="000000"/>
            </w:tcBorders>
            <w:vAlign w:val="bottom"/>
          </w:tcPr>
          <w:p>
            <w:pPr>
              <w:pStyle w:val="TableContents"/>
              <w:bidi w:val="0"/>
              <w:spacing w:before="0" w:after="0"/>
              <w:jc w:val="left"/>
              <w:rPr>
                <w:b/>
              </w:rPr>
            </w:pPr>
            <w:r>
              <w:rPr>
                <w:b/>
              </w:rPr>
              <w:t>Total stockholders’ equity (deficit)</w:t>
            </w:r>
          </w:p>
        </w:tc>
        <w:tc>
          <w:tcPr>
            <w:tcW w:w="60" w:type="dxa"/>
            <w:tcBorders>
              <w:bottom w:val="single" w:sz="12" w:space="0" w:color="000000"/>
            </w:tcBorders>
            <w:vAlign w:val="bottom"/>
          </w:tcPr>
          <w:p>
            <w:pPr>
              <w:pStyle w:val="TableContents"/>
              <w:bidi w:val="0"/>
              <w:spacing w:before="0" w:after="283"/>
              <w:jc w:val="left"/>
              <w:rPr/>
            </w:pPr>
            <w:r>
              <w:rPr/>
              <w:t> </w:t>
            </w:r>
          </w:p>
        </w:tc>
        <w:tc>
          <w:tcPr>
            <w:tcW w:w="169" w:type="dxa"/>
            <w:tcBorders>
              <w:bottom w:val="single" w:sz="12" w:space="0" w:color="000000"/>
            </w:tcBorders>
            <w:vAlign w:val="bottom"/>
          </w:tcPr>
          <w:p>
            <w:pPr>
              <w:pStyle w:val="TableContents"/>
              <w:bidi w:val="0"/>
              <w:spacing w:before="0" w:after="283"/>
              <w:jc w:val="left"/>
              <w:rPr/>
            </w:pPr>
            <w:r>
              <w:rPr/>
              <w:t> </w:t>
            </w:r>
          </w:p>
        </w:tc>
        <w:tc>
          <w:tcPr>
            <w:tcW w:w="2266" w:type="dxa"/>
            <w:tcBorders>
              <w:bottom w:val="single" w:sz="12" w:space="0" w:color="000000"/>
            </w:tcBorders>
            <w:vAlign w:val="bottom"/>
          </w:tcPr>
          <w:p>
            <w:pPr>
              <w:pStyle w:val="TableContents"/>
              <w:bidi w:val="0"/>
              <w:spacing w:before="0" w:after="0"/>
              <w:jc w:val="right"/>
              <w:rPr>
                <w:b/>
              </w:rPr>
            </w:pPr>
            <w:r>
              <w:rPr>
                <w:b/>
              </w:rPr>
              <w:t>136,985</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85" w:type="dxa"/>
            <w:tcBorders>
              <w:bottom w:val="single" w:sz="12" w:space="0" w:color="000000"/>
            </w:tcBorders>
            <w:vAlign w:val="bottom"/>
          </w:tcPr>
          <w:p>
            <w:pPr>
              <w:pStyle w:val="TableContents"/>
              <w:bidi w:val="0"/>
              <w:spacing w:before="0" w:after="283"/>
              <w:jc w:val="left"/>
              <w:rPr/>
            </w:pPr>
            <w:r>
              <w:rPr/>
              <w:t> </w:t>
            </w:r>
          </w:p>
        </w:tc>
        <w:tc>
          <w:tcPr>
            <w:tcW w:w="1240" w:type="dxa"/>
            <w:tcBorders>
              <w:bottom w:val="single" w:sz="12" w:space="0" w:color="000000"/>
            </w:tcBorders>
            <w:vAlign w:val="bottom"/>
          </w:tcPr>
          <w:p>
            <w:pPr>
              <w:pStyle w:val="TableContents"/>
              <w:bidi w:val="0"/>
              <w:spacing w:before="0" w:after="0"/>
              <w:jc w:val="right"/>
              <w:rPr>
                <w:b/>
              </w:rPr>
            </w:pPr>
            <w:r>
              <w:rPr>
                <w:b/>
              </w:rPr>
              <w:t>(139,638</w:t>
            </w:r>
          </w:p>
        </w:tc>
        <w:tc>
          <w:tcPr>
            <w:tcW w:w="95" w:type="dxa"/>
            <w:tcBorders>
              <w:bottom w:val="single" w:sz="12" w:space="0" w:color="000000"/>
            </w:tcBorders>
            <w:vAlign w:val="bottom"/>
          </w:tcPr>
          <w:p>
            <w:pPr>
              <w:pStyle w:val="TableContents"/>
              <w:bidi w:val="0"/>
              <w:spacing w:before="0" w:after="0"/>
              <w:jc w:val="left"/>
              <w:rPr>
                <w:b/>
              </w:rPr>
            </w:pPr>
            <w:r>
              <w:rPr>
                <w:b/>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138" w:type="dxa"/>
            <w:tcBorders>
              <w:bottom w:val="single" w:sz="12" w:space="0" w:color="000000"/>
            </w:tcBorders>
            <w:vAlign w:val="bottom"/>
          </w:tcPr>
          <w:p>
            <w:pPr>
              <w:pStyle w:val="TableContents"/>
              <w:bidi w:val="0"/>
              <w:spacing w:before="0" w:after="283"/>
              <w:jc w:val="left"/>
              <w:rPr/>
            </w:pPr>
            <w:r>
              <w:rPr/>
              <w:t> </w:t>
            </w:r>
          </w:p>
        </w:tc>
        <w:tc>
          <w:tcPr>
            <w:tcW w:w="2027" w:type="dxa"/>
            <w:tcBorders>
              <w:bottom w:val="single" w:sz="12" w:space="0" w:color="000000"/>
            </w:tcBorders>
            <w:vAlign w:val="bottom"/>
          </w:tcPr>
          <w:p>
            <w:pPr>
              <w:pStyle w:val="TableContents"/>
              <w:bidi w:val="0"/>
              <w:spacing w:before="0" w:after="0"/>
              <w:jc w:val="right"/>
              <w:rPr>
                <w:b/>
              </w:rPr>
            </w:pPr>
            <w:r>
              <w:rPr>
                <w:b/>
              </w:rPr>
              <w:t>(2,653</w:t>
            </w:r>
          </w:p>
        </w:tc>
        <w:tc>
          <w:tcPr>
            <w:tcW w:w="95" w:type="dxa"/>
            <w:tcBorders>
              <w:bottom w:val="single" w:sz="12" w:space="0" w:color="000000"/>
            </w:tcBorders>
            <w:vAlign w:val="bottom"/>
          </w:tcPr>
          <w:p>
            <w:pPr>
              <w:pStyle w:val="TableContents"/>
              <w:bidi w:val="0"/>
              <w:spacing w:before="0" w:after="0"/>
              <w:jc w:val="left"/>
              <w:rPr>
                <w:b/>
              </w:rPr>
            </w:pPr>
            <w:r>
              <w:rPr>
                <w:b/>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182" w:type="dxa"/>
            <w:tcBorders>
              <w:bottom w:val="single" w:sz="12" w:space="0" w:color="000000"/>
            </w:tcBorders>
            <w:vAlign w:val="bottom"/>
          </w:tcPr>
          <w:p>
            <w:pPr>
              <w:pStyle w:val="TableContents"/>
              <w:bidi w:val="0"/>
              <w:spacing w:before="0" w:after="283"/>
              <w:jc w:val="left"/>
              <w:rPr/>
            </w:pPr>
            <w:r>
              <w:rPr/>
              <w:t> </w:t>
            </w:r>
          </w:p>
        </w:tc>
        <w:tc>
          <w:tcPr>
            <w:tcW w:w="2298" w:type="dxa"/>
            <w:tcBorders>
              <w:bottom w:val="single" w:sz="12" w:space="0" w:color="000000"/>
            </w:tcBorders>
            <w:vAlign w:val="bottom"/>
          </w:tcPr>
          <w:p>
            <w:pPr>
              <w:pStyle w:val="TableContents"/>
              <w:bidi w:val="0"/>
              <w:spacing w:before="0" w:after="0"/>
              <w:jc w:val="right"/>
              <w:rPr>
                <w:b/>
              </w:rPr>
            </w:pPr>
            <w:r>
              <w:rPr>
                <w:b/>
              </w:rPr>
              <w:t>61,403</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88" w:type="dxa"/>
            <w:tcBorders>
              <w:bottom w:val="single" w:sz="12" w:space="0" w:color="000000"/>
            </w:tcBorders>
            <w:vAlign w:val="bottom"/>
          </w:tcPr>
          <w:p>
            <w:pPr>
              <w:pStyle w:val="TableContents"/>
              <w:bidi w:val="0"/>
              <w:spacing w:before="0" w:after="283"/>
              <w:jc w:val="left"/>
              <w:rPr/>
            </w:pPr>
            <w:r>
              <w:rPr/>
              <w:t> </w:t>
            </w:r>
          </w:p>
        </w:tc>
        <w:tc>
          <w:tcPr>
            <w:tcW w:w="2192" w:type="dxa"/>
            <w:tcBorders>
              <w:bottom w:val="single" w:sz="12" w:space="0" w:color="000000"/>
            </w:tcBorders>
            <w:vAlign w:val="bottom"/>
          </w:tcPr>
          <w:p>
            <w:pPr>
              <w:pStyle w:val="TableContents"/>
              <w:bidi w:val="0"/>
              <w:spacing w:before="0" w:after="0"/>
              <w:jc w:val="right"/>
              <w:rPr>
                <w:b/>
              </w:rPr>
            </w:pPr>
            <w:r>
              <w:rPr>
                <w:b/>
              </w:rPr>
              <w:t>(302</w:t>
            </w:r>
          </w:p>
        </w:tc>
        <w:tc>
          <w:tcPr>
            <w:tcW w:w="95" w:type="dxa"/>
            <w:tcBorders>
              <w:bottom w:val="single" w:sz="12" w:space="0" w:color="000000"/>
            </w:tcBorders>
            <w:vAlign w:val="bottom"/>
          </w:tcPr>
          <w:p>
            <w:pPr>
              <w:pStyle w:val="TableContents"/>
              <w:bidi w:val="0"/>
              <w:spacing w:before="0" w:after="0"/>
              <w:jc w:val="left"/>
              <w:rPr>
                <w:b/>
              </w:rPr>
            </w:pPr>
            <w:r>
              <w:rPr>
                <w:b/>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159" w:type="dxa"/>
            <w:tcBorders>
              <w:bottom w:val="single" w:sz="12" w:space="0" w:color="000000"/>
            </w:tcBorders>
            <w:vAlign w:val="bottom"/>
          </w:tcPr>
          <w:p>
            <w:pPr>
              <w:pStyle w:val="TableContents"/>
              <w:bidi w:val="0"/>
              <w:spacing w:before="0" w:after="283"/>
              <w:jc w:val="left"/>
              <w:rPr/>
            </w:pPr>
            <w:r>
              <w:rPr/>
              <w:t> </w:t>
            </w:r>
          </w:p>
        </w:tc>
        <w:tc>
          <w:tcPr>
            <w:tcW w:w="2321" w:type="dxa"/>
            <w:tcBorders>
              <w:bottom w:val="single" w:sz="12" w:space="0" w:color="000000"/>
            </w:tcBorders>
            <w:vAlign w:val="bottom"/>
          </w:tcPr>
          <w:p>
            <w:pPr>
              <w:pStyle w:val="TableContents"/>
              <w:bidi w:val="0"/>
              <w:spacing w:before="0" w:after="0"/>
              <w:jc w:val="right"/>
              <w:rPr>
                <w:b/>
              </w:rPr>
            </w:pPr>
            <w:r>
              <w:rPr>
                <w:b/>
              </w:rPr>
              <w:t>116,000</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82" w:type="dxa"/>
            <w:tcBorders>
              <w:bottom w:val="single" w:sz="12" w:space="0" w:color="000000"/>
            </w:tcBorders>
            <w:vAlign w:val="bottom"/>
          </w:tcPr>
          <w:p>
            <w:pPr>
              <w:pStyle w:val="TableContents"/>
              <w:bidi w:val="0"/>
              <w:spacing w:before="0" w:after="283"/>
              <w:jc w:val="left"/>
              <w:rPr/>
            </w:pPr>
            <w:r>
              <w:rPr/>
              <w:t> </w:t>
            </w:r>
          </w:p>
        </w:tc>
        <w:tc>
          <w:tcPr>
            <w:tcW w:w="2298" w:type="dxa"/>
            <w:tcBorders>
              <w:bottom w:val="single" w:sz="12" w:space="0" w:color="000000"/>
            </w:tcBorders>
            <w:vAlign w:val="bottom"/>
          </w:tcPr>
          <w:p>
            <w:pPr>
              <w:pStyle w:val="TableContents"/>
              <w:bidi w:val="0"/>
              <w:spacing w:before="0" w:after="0"/>
              <w:jc w:val="right"/>
              <w:rPr>
                <w:b/>
              </w:rPr>
            </w:pPr>
            <w:r>
              <w:rPr>
                <w:b/>
              </w:rPr>
              <w:t>(22,430</w:t>
            </w:r>
          </w:p>
        </w:tc>
        <w:tc>
          <w:tcPr>
            <w:tcW w:w="155" w:type="dxa"/>
            <w:tcBorders>
              <w:bottom w:val="single" w:sz="12" w:space="0" w:color="000000"/>
            </w:tcBorders>
            <w:vAlign w:val="bottom"/>
          </w:tcPr>
          <w:p>
            <w:pPr>
              <w:pStyle w:val="TableContents"/>
              <w:bidi w:val="0"/>
              <w:spacing w:before="0" w:after="283"/>
              <w:jc w:val="left"/>
              <w:rPr>
                <w:b/>
              </w:rPr>
            </w:pPr>
            <w:r>
              <w:rPr>
                <w:b/>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77" w:type="dxa"/>
            <w:tcBorders>
              <w:bottom w:val="single" w:sz="12" w:space="0" w:color="000000"/>
            </w:tcBorders>
            <w:vAlign w:val="bottom"/>
          </w:tcPr>
          <w:p>
            <w:pPr>
              <w:pStyle w:val="TableContents"/>
              <w:bidi w:val="0"/>
              <w:spacing w:before="0" w:after="283"/>
              <w:jc w:val="left"/>
              <w:rPr/>
            </w:pPr>
            <w:r>
              <w:rPr/>
              <w:t> </w:t>
            </w:r>
          </w:p>
        </w:tc>
        <w:tc>
          <w:tcPr>
            <w:tcW w:w="1128" w:type="dxa"/>
            <w:tcBorders>
              <w:bottom w:val="single" w:sz="12" w:space="0" w:color="000000"/>
            </w:tcBorders>
            <w:vAlign w:val="bottom"/>
          </w:tcPr>
          <w:p>
            <w:pPr>
              <w:pStyle w:val="TableContents"/>
              <w:bidi w:val="0"/>
              <w:spacing w:before="0" w:after="0"/>
              <w:jc w:val="right"/>
              <w:rPr>
                <w:b/>
              </w:rPr>
            </w:pPr>
            <w:r>
              <w:rPr>
                <w:b/>
              </w:rPr>
              <w:t>152,018</w:t>
            </w:r>
          </w:p>
        </w:tc>
        <w:tc>
          <w:tcPr>
            <w:tcW w:w="95" w:type="dxa"/>
            <w:tcBorders/>
            <w:tcMar>
              <w:bottom w:w="0" w:type="dxa"/>
            </w:tcMar>
            <w:vAlign w:val="bottom"/>
          </w:tcPr>
          <w:p>
            <w:pPr>
              <w:pStyle w:val="TableContents"/>
              <w:bidi w:val="0"/>
              <w:spacing w:before="0" w:after="283"/>
              <w:jc w:val="left"/>
              <w:rPr/>
            </w:pPr>
            <w:r>
              <w:rPr/>
              <w:t> </w:t>
            </w:r>
          </w:p>
        </w:tc>
      </w:tr>
      <w:tr>
        <w:trPr/>
        <w:tc>
          <w:tcPr>
            <w:tcW w:w="6890" w:type="dxa"/>
            <w:tcBorders>
              <w:bottom w:val="double" w:sz="8" w:space="0" w:color="000000"/>
            </w:tcBorders>
            <w:shd w:fill="CCEEFF" w:val="clear"/>
            <w:vAlign w:val="bottom"/>
          </w:tcPr>
          <w:p>
            <w:pPr>
              <w:pStyle w:val="TableContents"/>
              <w:bidi w:val="0"/>
              <w:spacing w:before="0" w:after="0"/>
              <w:ind w:left="180" w:right="0" w:hanging="180"/>
              <w:jc w:val="left"/>
              <w:rPr>
                <w:b/>
              </w:rPr>
            </w:pPr>
            <w:r>
              <w:rPr>
                <w:b/>
              </w:rPr>
              <w:t xml:space="preserve">Total liabilities, contingently redeemable, convertible preferred stock, and stockholders’ equity </w:t>
            </w:r>
          </w:p>
        </w:tc>
        <w:tc>
          <w:tcPr>
            <w:tcW w:w="60" w:type="dxa"/>
            <w:tcBorders>
              <w:bottom w:val="double" w:sz="8" w:space="0" w:color="000000"/>
            </w:tcBorders>
            <w:shd w:fill="CCEEFF" w:val="clear"/>
            <w:vAlign w:val="bottom"/>
          </w:tcPr>
          <w:p>
            <w:pPr>
              <w:pStyle w:val="TableContents"/>
              <w:bidi w:val="0"/>
              <w:spacing w:before="0" w:after="283"/>
              <w:jc w:val="left"/>
              <w:rPr/>
            </w:pPr>
            <w:r>
              <w:rPr/>
              <w:t> </w:t>
            </w:r>
          </w:p>
        </w:tc>
        <w:tc>
          <w:tcPr>
            <w:tcW w:w="169" w:type="dxa"/>
            <w:tcBorders>
              <w:bottom w:val="double" w:sz="8" w:space="0" w:color="000000"/>
            </w:tcBorders>
            <w:shd w:fill="CCEEFF" w:val="clear"/>
            <w:vAlign w:val="bottom"/>
          </w:tcPr>
          <w:p>
            <w:pPr>
              <w:pStyle w:val="TableContents"/>
              <w:bidi w:val="0"/>
              <w:spacing w:before="0" w:after="283"/>
              <w:jc w:val="left"/>
              <w:rPr/>
            </w:pPr>
            <w:r>
              <w:rPr/>
              <w:t> </w:t>
            </w:r>
          </w:p>
        </w:tc>
        <w:tc>
          <w:tcPr>
            <w:tcW w:w="2266" w:type="dxa"/>
            <w:tcBorders>
              <w:bottom w:val="double" w:sz="8" w:space="0" w:color="000000"/>
            </w:tcBorders>
            <w:shd w:fill="CCEEFF" w:val="clear"/>
            <w:vAlign w:val="bottom"/>
          </w:tcPr>
          <w:p>
            <w:pPr>
              <w:pStyle w:val="TableContents"/>
              <w:bidi w:val="0"/>
              <w:spacing w:before="0" w:after="0"/>
              <w:jc w:val="right"/>
              <w:rPr>
                <w:b/>
              </w:rPr>
            </w:pPr>
            <w:r>
              <w:rPr>
                <w:b/>
              </w:rPr>
              <w:t>162,015</w:t>
            </w:r>
          </w:p>
        </w:tc>
        <w:tc>
          <w:tcPr>
            <w:tcW w:w="95" w:type="dxa"/>
            <w:tcBorders>
              <w:bottom w:val="double" w:sz="8" w:space="0" w:color="000000"/>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vAlign w:val="bottom"/>
          </w:tcPr>
          <w:p>
            <w:pPr>
              <w:pStyle w:val="TableContents"/>
              <w:bidi w:val="0"/>
              <w:spacing w:before="0" w:after="283"/>
              <w:jc w:val="left"/>
              <w:rPr/>
            </w:pPr>
            <w:r>
              <w:rPr/>
              <w:t> </w:t>
            </w:r>
          </w:p>
        </w:tc>
        <w:tc>
          <w:tcPr>
            <w:tcW w:w="85" w:type="dxa"/>
            <w:tcBorders>
              <w:bottom w:val="double" w:sz="8" w:space="0" w:color="000000"/>
            </w:tcBorders>
            <w:shd w:fill="CCEEFF" w:val="clear"/>
            <w:vAlign w:val="bottom"/>
          </w:tcPr>
          <w:p>
            <w:pPr>
              <w:pStyle w:val="TableContents"/>
              <w:bidi w:val="0"/>
              <w:spacing w:before="0" w:after="283"/>
              <w:jc w:val="left"/>
              <w:rPr/>
            </w:pPr>
            <w:r>
              <w:rPr/>
              <w:t> </w:t>
            </w:r>
          </w:p>
        </w:tc>
        <w:tc>
          <w:tcPr>
            <w:tcW w:w="1240" w:type="dxa"/>
            <w:tcBorders>
              <w:bottom w:val="double" w:sz="8" w:space="0" w:color="000000"/>
            </w:tcBorders>
            <w:shd w:fill="CCEEFF" w:val="clear"/>
            <w:vAlign w:val="bottom"/>
          </w:tcPr>
          <w:p>
            <w:pPr>
              <w:pStyle w:val="TableContents"/>
              <w:bidi w:val="0"/>
              <w:spacing w:before="0" w:after="0"/>
              <w:jc w:val="right"/>
              <w:rPr>
                <w:b/>
              </w:rPr>
            </w:pPr>
            <w:r>
              <w:rPr>
                <w:b/>
              </w:rPr>
              <w:t>44,552</w:t>
            </w:r>
          </w:p>
        </w:tc>
        <w:tc>
          <w:tcPr>
            <w:tcW w:w="95" w:type="dxa"/>
            <w:tcBorders>
              <w:bottom w:val="double" w:sz="8" w:space="0" w:color="000000"/>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vAlign w:val="bottom"/>
          </w:tcPr>
          <w:p>
            <w:pPr>
              <w:pStyle w:val="TableContents"/>
              <w:bidi w:val="0"/>
              <w:spacing w:before="0" w:after="283"/>
              <w:jc w:val="left"/>
              <w:rPr/>
            </w:pPr>
            <w:r>
              <w:rPr/>
              <w:t> </w:t>
            </w:r>
          </w:p>
        </w:tc>
        <w:tc>
          <w:tcPr>
            <w:tcW w:w="138" w:type="dxa"/>
            <w:tcBorders>
              <w:bottom w:val="double" w:sz="8" w:space="0" w:color="000000"/>
            </w:tcBorders>
            <w:shd w:fill="CCEEFF" w:val="clear"/>
            <w:vAlign w:val="bottom"/>
          </w:tcPr>
          <w:p>
            <w:pPr>
              <w:pStyle w:val="TableContents"/>
              <w:bidi w:val="0"/>
              <w:spacing w:before="0" w:after="283"/>
              <w:jc w:val="left"/>
              <w:rPr/>
            </w:pPr>
            <w:r>
              <w:rPr/>
              <w:t> </w:t>
            </w:r>
          </w:p>
        </w:tc>
        <w:tc>
          <w:tcPr>
            <w:tcW w:w="2027" w:type="dxa"/>
            <w:tcBorders>
              <w:bottom w:val="double" w:sz="8" w:space="0" w:color="000000"/>
            </w:tcBorders>
            <w:shd w:fill="CCEEFF" w:val="clear"/>
            <w:vAlign w:val="bottom"/>
          </w:tcPr>
          <w:p>
            <w:pPr>
              <w:pStyle w:val="TableContents"/>
              <w:bidi w:val="0"/>
              <w:spacing w:before="0" w:after="0"/>
              <w:jc w:val="right"/>
              <w:rPr>
                <w:b/>
              </w:rPr>
            </w:pPr>
            <w:r>
              <w:rPr>
                <w:b/>
              </w:rPr>
              <w:t>206,567</w:t>
            </w:r>
          </w:p>
        </w:tc>
        <w:tc>
          <w:tcPr>
            <w:tcW w:w="95" w:type="dxa"/>
            <w:tcBorders>
              <w:bottom w:val="double" w:sz="8" w:space="0" w:color="000000"/>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vAlign w:val="bottom"/>
          </w:tcPr>
          <w:p>
            <w:pPr>
              <w:pStyle w:val="TableContents"/>
              <w:bidi w:val="0"/>
              <w:spacing w:before="0" w:after="283"/>
              <w:jc w:val="left"/>
              <w:rPr/>
            </w:pPr>
            <w:r>
              <w:rPr/>
              <w:t> </w:t>
            </w:r>
          </w:p>
        </w:tc>
        <w:tc>
          <w:tcPr>
            <w:tcW w:w="182" w:type="dxa"/>
            <w:tcBorders>
              <w:bottom w:val="double" w:sz="8" w:space="0" w:color="000000"/>
            </w:tcBorders>
            <w:shd w:fill="CCEEFF" w:val="clear"/>
            <w:vAlign w:val="bottom"/>
          </w:tcPr>
          <w:p>
            <w:pPr>
              <w:pStyle w:val="TableContents"/>
              <w:bidi w:val="0"/>
              <w:spacing w:before="0" w:after="283"/>
              <w:jc w:val="left"/>
              <w:rPr/>
            </w:pPr>
            <w:r>
              <w:rPr/>
              <w:t> </w:t>
            </w:r>
          </w:p>
        </w:tc>
        <w:tc>
          <w:tcPr>
            <w:tcW w:w="2298" w:type="dxa"/>
            <w:tcBorders>
              <w:bottom w:val="double" w:sz="8" w:space="0" w:color="000000"/>
            </w:tcBorders>
            <w:shd w:fill="CCEEFF" w:val="clear"/>
            <w:vAlign w:val="bottom"/>
          </w:tcPr>
          <w:p>
            <w:pPr>
              <w:pStyle w:val="TableContents"/>
              <w:bidi w:val="0"/>
              <w:spacing w:before="0" w:after="0"/>
              <w:jc w:val="right"/>
              <w:rPr>
                <w:b/>
              </w:rPr>
            </w:pPr>
            <w:r>
              <w:rPr>
                <w:b/>
              </w:rPr>
              <w:t>-</w:t>
            </w:r>
          </w:p>
        </w:tc>
        <w:tc>
          <w:tcPr>
            <w:tcW w:w="95" w:type="dxa"/>
            <w:tcBorders>
              <w:bottom w:val="double" w:sz="8" w:space="0" w:color="000000"/>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vAlign w:val="bottom"/>
          </w:tcPr>
          <w:p>
            <w:pPr>
              <w:pStyle w:val="TableContents"/>
              <w:bidi w:val="0"/>
              <w:spacing w:before="0" w:after="283"/>
              <w:jc w:val="left"/>
              <w:rPr/>
            </w:pPr>
            <w:r>
              <w:rPr/>
              <w:t> </w:t>
            </w:r>
          </w:p>
        </w:tc>
        <w:tc>
          <w:tcPr>
            <w:tcW w:w="288" w:type="dxa"/>
            <w:tcBorders>
              <w:bottom w:val="double" w:sz="8" w:space="0" w:color="000000"/>
            </w:tcBorders>
            <w:shd w:fill="CCEEFF" w:val="clear"/>
            <w:vAlign w:val="bottom"/>
          </w:tcPr>
          <w:p>
            <w:pPr>
              <w:pStyle w:val="TableContents"/>
              <w:bidi w:val="0"/>
              <w:spacing w:before="0" w:after="283"/>
              <w:jc w:val="left"/>
              <w:rPr/>
            </w:pPr>
            <w:r>
              <w:rPr/>
              <w:t> </w:t>
            </w:r>
          </w:p>
        </w:tc>
        <w:tc>
          <w:tcPr>
            <w:tcW w:w="2192" w:type="dxa"/>
            <w:tcBorders>
              <w:bottom w:val="double" w:sz="8" w:space="0" w:color="000000"/>
            </w:tcBorders>
            <w:shd w:fill="CCEEFF" w:val="clear"/>
            <w:vAlign w:val="bottom"/>
          </w:tcPr>
          <w:p>
            <w:pPr>
              <w:pStyle w:val="TableContents"/>
              <w:bidi w:val="0"/>
              <w:spacing w:before="0" w:after="0"/>
              <w:jc w:val="right"/>
              <w:rPr>
                <w:b/>
              </w:rPr>
            </w:pPr>
            <w:r>
              <w:rPr>
                <w:b/>
              </w:rPr>
              <w:t>-</w:t>
            </w:r>
          </w:p>
        </w:tc>
        <w:tc>
          <w:tcPr>
            <w:tcW w:w="95" w:type="dxa"/>
            <w:tcBorders>
              <w:bottom w:val="double" w:sz="8" w:space="0" w:color="000000"/>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vAlign w:val="bottom"/>
          </w:tcPr>
          <w:p>
            <w:pPr>
              <w:pStyle w:val="TableContents"/>
              <w:bidi w:val="0"/>
              <w:spacing w:before="0" w:after="283"/>
              <w:jc w:val="left"/>
              <w:rPr/>
            </w:pPr>
            <w:r>
              <w:rPr/>
              <w:t> </w:t>
            </w:r>
          </w:p>
        </w:tc>
        <w:tc>
          <w:tcPr>
            <w:tcW w:w="159" w:type="dxa"/>
            <w:tcBorders>
              <w:bottom w:val="double" w:sz="8" w:space="0" w:color="000000"/>
            </w:tcBorders>
            <w:shd w:fill="CCEEFF" w:val="clear"/>
            <w:vAlign w:val="bottom"/>
          </w:tcPr>
          <w:p>
            <w:pPr>
              <w:pStyle w:val="TableContents"/>
              <w:bidi w:val="0"/>
              <w:spacing w:before="0" w:after="283"/>
              <w:jc w:val="left"/>
              <w:rPr/>
            </w:pPr>
            <w:r>
              <w:rPr/>
              <w:t> </w:t>
            </w:r>
          </w:p>
        </w:tc>
        <w:tc>
          <w:tcPr>
            <w:tcW w:w="2321" w:type="dxa"/>
            <w:tcBorders>
              <w:bottom w:val="double" w:sz="8" w:space="0" w:color="000000"/>
            </w:tcBorders>
            <w:shd w:fill="CCEEFF" w:val="clear"/>
            <w:vAlign w:val="bottom"/>
          </w:tcPr>
          <w:p>
            <w:pPr>
              <w:pStyle w:val="TableContents"/>
              <w:bidi w:val="0"/>
              <w:spacing w:before="0" w:after="0"/>
              <w:jc w:val="right"/>
              <w:rPr>
                <w:b/>
              </w:rPr>
            </w:pPr>
            <w:r>
              <w:rPr>
                <w:b/>
              </w:rPr>
              <w:t>-</w:t>
            </w:r>
          </w:p>
        </w:tc>
        <w:tc>
          <w:tcPr>
            <w:tcW w:w="95" w:type="dxa"/>
            <w:tcBorders>
              <w:bottom w:val="double" w:sz="8" w:space="0" w:color="000000"/>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vAlign w:val="bottom"/>
          </w:tcPr>
          <w:p>
            <w:pPr>
              <w:pStyle w:val="TableContents"/>
              <w:bidi w:val="0"/>
              <w:spacing w:before="0" w:after="283"/>
              <w:jc w:val="left"/>
              <w:rPr/>
            </w:pPr>
            <w:r>
              <w:rPr/>
              <w:t> </w:t>
            </w:r>
          </w:p>
        </w:tc>
        <w:tc>
          <w:tcPr>
            <w:tcW w:w="182" w:type="dxa"/>
            <w:tcBorders>
              <w:bottom w:val="double" w:sz="8" w:space="0" w:color="000000"/>
            </w:tcBorders>
            <w:shd w:fill="CCEEFF" w:val="clear"/>
            <w:vAlign w:val="bottom"/>
          </w:tcPr>
          <w:p>
            <w:pPr>
              <w:pStyle w:val="TableContents"/>
              <w:bidi w:val="0"/>
              <w:spacing w:before="0" w:after="283"/>
              <w:jc w:val="left"/>
              <w:rPr/>
            </w:pPr>
            <w:r>
              <w:rPr/>
              <w:t> </w:t>
            </w:r>
          </w:p>
        </w:tc>
        <w:tc>
          <w:tcPr>
            <w:tcW w:w="2298" w:type="dxa"/>
            <w:tcBorders>
              <w:bottom w:val="double" w:sz="8" w:space="0" w:color="000000"/>
            </w:tcBorders>
            <w:shd w:fill="CCEEFF" w:val="clear"/>
            <w:vAlign w:val="bottom"/>
          </w:tcPr>
          <w:p>
            <w:pPr>
              <w:pStyle w:val="TableContents"/>
              <w:bidi w:val="0"/>
              <w:spacing w:before="0" w:after="0"/>
              <w:jc w:val="right"/>
              <w:rPr>
                <w:b/>
              </w:rPr>
            </w:pPr>
            <w:r>
              <w:rPr>
                <w:b/>
              </w:rPr>
              <w:t>-</w:t>
            </w:r>
          </w:p>
        </w:tc>
        <w:tc>
          <w:tcPr>
            <w:tcW w:w="155" w:type="dxa"/>
            <w:tcBorders>
              <w:bottom w:val="double" w:sz="8" w:space="0" w:color="000000"/>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vAlign w:val="bottom"/>
          </w:tcPr>
          <w:p>
            <w:pPr>
              <w:pStyle w:val="TableContents"/>
              <w:bidi w:val="0"/>
              <w:spacing w:before="0" w:after="283"/>
              <w:jc w:val="left"/>
              <w:rPr/>
            </w:pPr>
            <w:r>
              <w:rPr/>
              <w:t> </w:t>
            </w:r>
          </w:p>
        </w:tc>
        <w:tc>
          <w:tcPr>
            <w:tcW w:w="77" w:type="dxa"/>
            <w:tcBorders>
              <w:bottom w:val="double" w:sz="8" w:space="0" w:color="000000"/>
            </w:tcBorders>
            <w:shd w:fill="CCEEFF" w:val="clear"/>
            <w:vAlign w:val="bottom"/>
          </w:tcPr>
          <w:p>
            <w:pPr>
              <w:pStyle w:val="TableContents"/>
              <w:bidi w:val="0"/>
              <w:spacing w:before="0" w:after="283"/>
              <w:jc w:val="left"/>
              <w:rPr/>
            </w:pPr>
            <w:r>
              <w:rPr/>
              <w:t> </w:t>
            </w:r>
          </w:p>
        </w:tc>
        <w:tc>
          <w:tcPr>
            <w:tcW w:w="1128" w:type="dxa"/>
            <w:tcBorders>
              <w:bottom w:val="double" w:sz="8" w:space="0" w:color="000000"/>
            </w:tcBorders>
            <w:shd w:fill="CCEEFF" w:val="clear"/>
            <w:vAlign w:val="bottom"/>
          </w:tcPr>
          <w:p>
            <w:pPr>
              <w:pStyle w:val="TableContents"/>
              <w:bidi w:val="0"/>
              <w:spacing w:before="0" w:after="0"/>
              <w:jc w:val="right"/>
              <w:rPr>
                <w:b/>
              </w:rPr>
            </w:pPr>
            <w:r>
              <w:rPr>
                <w:b/>
              </w:rPr>
              <w:t>206,567</w:t>
            </w:r>
          </w:p>
        </w:tc>
        <w:tc>
          <w:tcPr>
            <w:tcW w:w="9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center"/>
        <w:rPr>
          <w:i/>
        </w:rPr>
      </w:pPr>
      <w:r>
        <w:rPr>
          <w:i/>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See accompanying notes to the unaudited pro forma condensed combined financial information.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 Pro Forma Condensed Combined Statement of Operations</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For the Three Months Ended March 31, 2026</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(U.S. dollars in thousands, except share and per share data)</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5" w:name="z32e90394a2494870bfa10be56831ac10"/>
      <w:bookmarkStart w:id="196" w:name="z32e90394a2494870bfa10be56831ac10"/>
      <w:bookmarkEnd w:id="196"/>
    </w:p>
    <w:tbl>
      <w:tblPr>
        <w:tblW w:w="16125" w:type="dxa"/>
        <w:jc w:val="left"/>
        <w:tblInd w:w="0" w:type="dxa"/>
        <w:tblLayout w:type="fixed"/>
        <w:tblCellMar>
          <w:top w:w="0" w:type="dxa"/>
          <w:left w:w="0" w:type="dxa"/>
          <w:bottom w:w="28" w:type="dxa"/>
          <w:right w:w="0" w:type="dxa"/>
        </w:tblCellMar>
      </w:tblPr>
      <w:tblGrid>
        <w:gridCol w:w="6455"/>
        <w:gridCol w:w="60"/>
        <w:gridCol w:w="234"/>
        <w:gridCol w:w="1781"/>
        <w:gridCol w:w="80"/>
        <w:gridCol w:w="60"/>
        <w:gridCol w:w="126"/>
        <w:gridCol w:w="959"/>
        <w:gridCol w:w="80"/>
        <w:gridCol w:w="60"/>
        <w:gridCol w:w="151"/>
        <w:gridCol w:w="1639"/>
        <w:gridCol w:w="80"/>
        <w:gridCol w:w="60"/>
        <w:gridCol w:w="226"/>
        <w:gridCol w:w="1834"/>
        <w:gridCol w:w="60"/>
        <w:gridCol w:w="60"/>
        <w:gridCol w:w="60"/>
        <w:gridCol w:w="680"/>
        <w:gridCol w:w="60"/>
        <w:gridCol w:w="60"/>
        <w:gridCol w:w="125"/>
        <w:gridCol w:w="1055"/>
        <w:gridCol w:w="80"/>
      </w:tblGrid>
      <w:tr>
        <w:trPr/>
        <w:tc>
          <w:tcPr>
            <w:tcW w:w="645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015" w:type="dxa"/>
            <w:gridSpan w:val="2"/>
            <w:tcBorders>
              <w:bottom w:val="single" w:sz="12" w:space="0" w:color="000000"/>
            </w:tcBorders>
            <w:vAlign w:val="bottom"/>
          </w:tcPr>
          <w:p>
            <w:pPr>
              <w:pStyle w:val="TableContents"/>
              <w:bidi w:val="0"/>
              <w:spacing w:before="0" w:after="0"/>
              <w:jc w:val="center"/>
              <w:rPr>
                <w:b/>
                <w:sz w:val="20"/>
              </w:rPr>
            </w:pPr>
            <w:r>
              <w:rPr>
                <w:b/>
                <w:sz w:val="20"/>
              </w:rPr>
              <w:t>Gyre Therapeutics, Inc.</w:t>
            </w:r>
          </w:p>
          <w:p>
            <w:pPr>
              <w:pStyle w:val="TableContents"/>
              <w:bidi w:val="0"/>
              <w:spacing w:before="0" w:after="0"/>
              <w:jc w:val="center"/>
              <w:rPr>
                <w:b/>
                <w:sz w:val="20"/>
              </w:rPr>
            </w:pPr>
            <w:r>
              <w:rPr>
                <w:b/>
                <w:sz w:val="20"/>
              </w:rPr>
              <w:t>(Historical)</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085" w:type="dxa"/>
            <w:gridSpan w:val="2"/>
            <w:tcBorders>
              <w:bottom w:val="single" w:sz="12" w:space="0" w:color="000000"/>
            </w:tcBorders>
            <w:vAlign w:val="bottom"/>
          </w:tcPr>
          <w:p>
            <w:pPr>
              <w:pStyle w:val="TableContents"/>
              <w:bidi w:val="0"/>
              <w:spacing w:before="0" w:after="0"/>
              <w:jc w:val="center"/>
              <w:rPr>
                <w:b/>
                <w:sz w:val="20"/>
              </w:rPr>
            </w:pPr>
            <w:r>
              <w:rPr>
                <w:b/>
                <w:sz w:val="20"/>
              </w:rPr>
              <w:t>Cullgen, Inc.</w:t>
            </w:r>
          </w:p>
          <w:p>
            <w:pPr>
              <w:pStyle w:val="TableContents"/>
              <w:bidi w:val="0"/>
              <w:spacing w:before="0" w:after="0"/>
              <w:jc w:val="center"/>
              <w:rPr>
                <w:b/>
                <w:sz w:val="20"/>
              </w:rPr>
            </w:pPr>
            <w:r>
              <w:rPr>
                <w:b/>
                <w:sz w:val="20"/>
              </w:rPr>
              <w:t>(Historical)</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790" w:type="dxa"/>
            <w:gridSpan w:val="2"/>
            <w:tcBorders>
              <w:bottom w:val="single" w:sz="12" w:space="0" w:color="000000"/>
            </w:tcBorders>
            <w:vAlign w:val="bottom"/>
          </w:tcPr>
          <w:p>
            <w:pPr>
              <w:pStyle w:val="TableContents"/>
              <w:bidi w:val="0"/>
              <w:spacing w:before="0" w:after="0"/>
              <w:jc w:val="center"/>
              <w:rPr>
                <w:b/>
                <w:sz w:val="20"/>
              </w:rPr>
            </w:pPr>
            <w:r>
              <w:rPr>
                <w:b/>
                <w:sz w:val="20"/>
              </w:rPr>
              <w:t>Historical Combined</w:t>
            </w:r>
          </w:p>
          <w:p>
            <w:pPr>
              <w:pStyle w:val="TableContents"/>
              <w:bidi w:val="0"/>
              <w:spacing w:before="0" w:after="0"/>
              <w:jc w:val="center"/>
              <w:rPr>
                <w:b/>
                <w:sz w:val="20"/>
              </w:rPr>
            </w:pPr>
            <w:r>
              <w:rPr>
                <w:b/>
                <w:sz w:val="20"/>
              </w:rPr>
              <w:t>Prior to Adjustments</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060" w:type="dxa"/>
            <w:gridSpan w:val="2"/>
            <w:tcBorders>
              <w:bottom w:val="single" w:sz="12" w:space="0" w:color="000000"/>
            </w:tcBorders>
            <w:vAlign w:val="bottom"/>
          </w:tcPr>
          <w:p>
            <w:pPr>
              <w:pStyle w:val="TableContents"/>
              <w:bidi w:val="0"/>
              <w:spacing w:before="0" w:after="0"/>
              <w:jc w:val="center"/>
              <w:rPr>
                <w:b/>
                <w:sz w:val="20"/>
              </w:rPr>
            </w:pPr>
            <w:r>
              <w:rPr>
                <w:b/>
                <w:sz w:val="20"/>
              </w:rPr>
              <w:t>Transaction Accounting</w:t>
            </w:r>
          </w:p>
          <w:p>
            <w:pPr>
              <w:pStyle w:val="TableContents"/>
              <w:bidi w:val="0"/>
              <w:spacing w:before="0" w:after="0"/>
              <w:jc w:val="center"/>
              <w:rPr>
                <w:b/>
                <w:sz w:val="20"/>
              </w:rPr>
            </w:pPr>
            <w:r>
              <w:rPr>
                <w:b/>
                <w:sz w:val="20"/>
              </w:rPr>
              <w:t>Adjustments</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740" w:type="dxa"/>
            <w:gridSpan w:val="2"/>
            <w:tcBorders>
              <w:bottom w:val="single" w:sz="12" w:space="0" w:color="000000"/>
            </w:tcBorders>
            <w:vAlign w:val="bottom"/>
          </w:tcPr>
          <w:p>
            <w:pPr>
              <w:pStyle w:val="TableContents"/>
              <w:bidi w:val="0"/>
              <w:spacing w:before="0" w:after="0"/>
              <w:jc w:val="center"/>
              <w:rPr>
                <w:b/>
                <w:sz w:val="20"/>
              </w:rPr>
            </w:pPr>
            <w:r>
              <w:rPr>
                <w:b/>
                <w:sz w:val="20"/>
              </w:rPr>
              <w:t>Note</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180" w:type="dxa"/>
            <w:gridSpan w:val="2"/>
            <w:tcBorders>
              <w:bottom w:val="single" w:sz="12" w:space="0" w:color="000000"/>
            </w:tcBorders>
            <w:vAlign w:val="bottom"/>
          </w:tcPr>
          <w:p>
            <w:pPr>
              <w:pStyle w:val="TableContents"/>
              <w:bidi w:val="0"/>
              <w:spacing w:before="0" w:after="0"/>
              <w:jc w:val="center"/>
              <w:rPr>
                <w:b/>
                <w:sz w:val="20"/>
              </w:rPr>
            </w:pPr>
            <w:r>
              <w:rPr>
                <w:b/>
                <w:sz w:val="20"/>
              </w:rPr>
              <w:t xml:space="preserve">Pro Forma </w:t>
            </w:r>
          </w:p>
          <w:p>
            <w:pPr>
              <w:pStyle w:val="TableContents"/>
              <w:bidi w:val="0"/>
              <w:spacing w:before="0" w:after="0"/>
              <w:jc w:val="center"/>
              <w:rPr>
                <w:b/>
                <w:sz w:val="20"/>
              </w:rPr>
            </w:pPr>
            <w:r>
              <w:rPr>
                <w:b/>
                <w:sz w:val="20"/>
              </w:rPr>
              <w:t>Combined</w:t>
            </w:r>
          </w:p>
        </w:tc>
        <w:tc>
          <w:tcPr>
            <w:tcW w:w="80" w:type="dxa"/>
            <w:tcBorders/>
            <w:tcMar>
              <w:bottom w:w="0" w:type="dxa"/>
            </w:tcMar>
            <w:vAlign w:val="bottom"/>
          </w:tcPr>
          <w:p>
            <w:pPr>
              <w:pStyle w:val="TableContents"/>
              <w:bidi w:val="0"/>
              <w:spacing w:before="0" w:after="283"/>
              <w:jc w:val="left"/>
              <w:rPr/>
            </w:pPr>
            <w:r>
              <w:rPr/>
              <w:t> </w:t>
            </w:r>
          </w:p>
        </w:tc>
      </w:tr>
      <w:tr>
        <w:trPr/>
        <w:tc>
          <w:tcPr>
            <w:tcW w:w="6455" w:type="dxa"/>
            <w:tcBorders/>
            <w:shd w:fill="CCEEFF" w:val="clear"/>
            <w:tcMar>
              <w:bottom w:w="0" w:type="dxa"/>
            </w:tcMar>
            <w:vAlign w:val="bottom"/>
          </w:tcPr>
          <w:p>
            <w:pPr>
              <w:pStyle w:val="TableContents"/>
              <w:bidi w:val="0"/>
              <w:spacing w:before="0" w:after="0"/>
              <w:jc w:val="left"/>
              <w:rPr>
                <w:sz w:val="20"/>
              </w:rPr>
            </w:pPr>
            <w:r>
              <w:rPr>
                <w:sz w:val="20"/>
              </w:rPr>
              <w:t>Revenues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34" w:type="dxa"/>
            <w:tcBorders/>
            <w:shd w:fill="CCEEFF" w:val="clear"/>
            <w:tcMar>
              <w:bottom w:w="0" w:type="dxa"/>
            </w:tcMar>
            <w:vAlign w:val="bottom"/>
          </w:tcPr>
          <w:p>
            <w:pPr>
              <w:pStyle w:val="TableContents"/>
              <w:bidi w:val="0"/>
              <w:spacing w:before="0" w:after="283"/>
              <w:jc w:val="left"/>
              <w:rPr/>
            </w:pPr>
            <w:r>
              <w:rPr/>
              <w:t> </w:t>
            </w:r>
          </w:p>
        </w:tc>
        <w:tc>
          <w:tcPr>
            <w:tcW w:w="1781" w:type="dxa"/>
            <w:tcBorders/>
            <w:shd w:fill="CCEEFF" w:val="clear"/>
            <w:tcMar>
              <w:bottom w:w="0" w:type="dxa"/>
            </w:tcMar>
            <w:vAlign w:val="bottom"/>
          </w:tcPr>
          <w:p>
            <w:pPr>
              <w:pStyle w:val="TableContents"/>
              <w:bidi w:val="0"/>
              <w:spacing w:before="0" w:after="0"/>
              <w:jc w:val="right"/>
              <w:rPr>
                <w:sz w:val="20"/>
              </w:rPr>
            </w:pPr>
            <w:r>
              <w:rPr>
                <w:sz w:val="20"/>
              </w:rPr>
              <w:t>22,519</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6" w:type="dxa"/>
            <w:tcBorders/>
            <w:shd w:fill="CCEEFF" w:val="clear"/>
            <w:tcMar>
              <w:bottom w:w="0" w:type="dxa"/>
            </w:tcMar>
            <w:vAlign w:val="bottom"/>
          </w:tcPr>
          <w:p>
            <w:pPr>
              <w:pStyle w:val="TableContents"/>
              <w:bidi w:val="0"/>
              <w:spacing w:before="0" w:after="283"/>
              <w:jc w:val="left"/>
              <w:rPr/>
            </w:pPr>
            <w:r>
              <w:rPr/>
              <w:t> </w:t>
            </w:r>
          </w:p>
        </w:tc>
        <w:tc>
          <w:tcPr>
            <w:tcW w:w="959" w:type="dxa"/>
            <w:tcBorders/>
            <w:shd w:fill="CCEEFF" w:val="clear"/>
            <w:tcMar>
              <w:bottom w:w="0" w:type="dxa"/>
            </w:tcMar>
            <w:vAlign w:val="bottom"/>
          </w:tcPr>
          <w:p>
            <w:pPr>
              <w:pStyle w:val="TableContents"/>
              <w:bidi w:val="0"/>
              <w:spacing w:before="0" w:after="0"/>
              <w:jc w:val="right"/>
              <w:rPr>
                <w:sz w:val="20"/>
              </w:rPr>
            </w:pPr>
            <w:r>
              <w:rPr>
                <w:sz w:val="20"/>
              </w:rPr>
              <w:t>1,911</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1639" w:type="dxa"/>
            <w:tcBorders/>
            <w:shd w:fill="CCEEFF" w:val="clear"/>
            <w:tcMar>
              <w:bottom w:w="0" w:type="dxa"/>
            </w:tcMar>
            <w:vAlign w:val="bottom"/>
          </w:tcPr>
          <w:p>
            <w:pPr>
              <w:pStyle w:val="TableContents"/>
              <w:bidi w:val="0"/>
              <w:spacing w:before="0" w:after="0"/>
              <w:jc w:val="right"/>
              <w:rPr>
                <w:sz w:val="20"/>
              </w:rPr>
            </w:pPr>
            <w:r>
              <w:rPr>
                <w:sz w:val="20"/>
              </w:rPr>
              <w:t>24,430</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0"/>
              <w:jc w:val="right"/>
              <w:rPr>
                <w:sz w:val="20"/>
              </w:rPr>
            </w:pPr>
            <w:r>
              <w:rPr>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40" w:type="dxa"/>
            <w:gridSpan w:val="2"/>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sz w:val="20"/>
              </w:rPr>
            </w:pPr>
            <w:r>
              <w:rPr>
                <w:sz w:val="20"/>
              </w:rPr>
              <w:t>24,430</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6455" w:type="dxa"/>
            <w:tcBorders/>
            <w:tcMar>
              <w:bottom w:w="0" w:type="dxa"/>
            </w:tcMar>
            <w:vAlign w:val="bottom"/>
          </w:tcPr>
          <w:p>
            <w:pPr>
              <w:pStyle w:val="TableContents"/>
              <w:bidi w:val="0"/>
              <w:spacing w:before="0" w:after="0"/>
              <w:jc w:val="left"/>
              <w:rPr>
                <w:b/>
                <w:sz w:val="20"/>
              </w:rPr>
            </w:pPr>
            <w:r>
              <w:rPr>
                <w:b/>
                <w:sz w:val="20"/>
              </w:rPr>
              <w:t>Operating expenses:</w:t>
            </w:r>
          </w:p>
        </w:tc>
        <w:tc>
          <w:tcPr>
            <w:tcW w:w="60" w:type="dxa"/>
            <w:tcBorders/>
            <w:tcMar>
              <w:bottom w:w="0" w:type="dxa"/>
            </w:tcMar>
            <w:vAlign w:val="bottom"/>
          </w:tcPr>
          <w:p>
            <w:pPr>
              <w:pStyle w:val="TableContents"/>
              <w:bidi w:val="0"/>
              <w:spacing w:before="0" w:after="283"/>
              <w:jc w:val="left"/>
              <w:rPr/>
            </w:pPr>
            <w:r>
              <w:rPr/>
              <w:t> </w:t>
            </w:r>
          </w:p>
        </w:tc>
        <w:tc>
          <w:tcPr>
            <w:tcW w:w="234" w:type="dxa"/>
            <w:tcBorders/>
            <w:tcMar>
              <w:bottom w:w="0" w:type="dxa"/>
            </w:tcMar>
            <w:vAlign w:val="bottom"/>
          </w:tcPr>
          <w:p>
            <w:pPr>
              <w:pStyle w:val="TableContents"/>
              <w:bidi w:val="0"/>
              <w:spacing w:before="0" w:after="283"/>
              <w:jc w:val="left"/>
              <w:rPr/>
            </w:pPr>
            <w:r>
              <w:rPr/>
              <w:t> </w:t>
            </w:r>
          </w:p>
        </w:tc>
        <w:tc>
          <w:tcPr>
            <w:tcW w:w="1781"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6" w:type="dxa"/>
            <w:tcBorders/>
            <w:tcMar>
              <w:bottom w:w="0" w:type="dxa"/>
            </w:tcMar>
            <w:vAlign w:val="bottom"/>
          </w:tcPr>
          <w:p>
            <w:pPr>
              <w:pStyle w:val="TableContents"/>
              <w:bidi w:val="0"/>
              <w:spacing w:before="0" w:after="283"/>
              <w:jc w:val="left"/>
              <w:rPr/>
            </w:pPr>
            <w:r>
              <w:rPr/>
              <w:t> </w:t>
            </w:r>
          </w:p>
        </w:tc>
        <w:tc>
          <w:tcPr>
            <w:tcW w:w="959"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1" w:type="dxa"/>
            <w:tcBorders/>
            <w:tcMar>
              <w:bottom w:w="0" w:type="dxa"/>
            </w:tcMar>
            <w:vAlign w:val="bottom"/>
          </w:tcPr>
          <w:p>
            <w:pPr>
              <w:pStyle w:val="TableContents"/>
              <w:bidi w:val="0"/>
              <w:spacing w:before="0" w:after="283"/>
              <w:jc w:val="left"/>
              <w:rPr/>
            </w:pPr>
            <w:r>
              <w:rPr/>
              <w:t> </w:t>
            </w:r>
          </w:p>
        </w:tc>
        <w:tc>
          <w:tcPr>
            <w:tcW w:w="1639"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26" w:type="dxa"/>
            <w:tcBorders/>
            <w:tcMar>
              <w:bottom w:w="0" w:type="dxa"/>
            </w:tcMar>
            <w:vAlign w:val="bottom"/>
          </w:tcPr>
          <w:p>
            <w:pPr>
              <w:pStyle w:val="TableContents"/>
              <w:bidi w:val="0"/>
              <w:spacing w:before="0" w:after="283"/>
              <w:jc w:val="left"/>
              <w:rPr/>
            </w:pPr>
            <w:r>
              <w:rPr/>
              <w:t> </w:t>
            </w:r>
          </w:p>
        </w:tc>
        <w:tc>
          <w:tcPr>
            <w:tcW w:w="1834"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40"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r>
      <w:tr>
        <w:trPr/>
        <w:tc>
          <w:tcPr>
            <w:tcW w:w="6455" w:type="dxa"/>
            <w:tcBorders/>
            <w:shd w:fill="CCEEFF" w:val="clear"/>
            <w:tcMar>
              <w:bottom w:w="0" w:type="dxa"/>
            </w:tcMar>
            <w:vAlign w:val="bottom"/>
          </w:tcPr>
          <w:p>
            <w:pPr>
              <w:pStyle w:val="TableContents"/>
              <w:bidi w:val="0"/>
              <w:spacing w:before="0" w:after="0"/>
              <w:jc w:val="left"/>
              <w:rPr>
                <w:sz w:val="20"/>
              </w:rPr>
            </w:pPr>
            <w:r>
              <w:rPr>
                <w:sz w:val="20"/>
              </w:rPr>
              <w:t>Cost of revenues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34" w:type="dxa"/>
            <w:tcBorders/>
            <w:shd w:fill="CCEEFF" w:val="clear"/>
            <w:tcMar>
              <w:bottom w:w="0" w:type="dxa"/>
            </w:tcMar>
            <w:vAlign w:val="bottom"/>
          </w:tcPr>
          <w:p>
            <w:pPr>
              <w:pStyle w:val="TableContents"/>
              <w:bidi w:val="0"/>
              <w:spacing w:before="0" w:after="283"/>
              <w:jc w:val="left"/>
              <w:rPr/>
            </w:pPr>
            <w:r>
              <w:rPr/>
              <w:t> </w:t>
            </w:r>
          </w:p>
        </w:tc>
        <w:tc>
          <w:tcPr>
            <w:tcW w:w="1781" w:type="dxa"/>
            <w:tcBorders/>
            <w:shd w:fill="CCEEFF" w:val="clear"/>
            <w:tcMar>
              <w:bottom w:w="0" w:type="dxa"/>
            </w:tcMar>
            <w:vAlign w:val="bottom"/>
          </w:tcPr>
          <w:p>
            <w:pPr>
              <w:pStyle w:val="TableContents"/>
              <w:bidi w:val="0"/>
              <w:spacing w:before="0" w:after="0"/>
              <w:jc w:val="right"/>
              <w:rPr>
                <w:sz w:val="20"/>
              </w:rPr>
            </w:pPr>
            <w:r>
              <w:rPr>
                <w:sz w:val="20"/>
              </w:rPr>
              <w:t>1,227</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6" w:type="dxa"/>
            <w:tcBorders/>
            <w:shd w:fill="CCEEFF" w:val="clear"/>
            <w:tcMar>
              <w:bottom w:w="0" w:type="dxa"/>
            </w:tcMar>
            <w:vAlign w:val="bottom"/>
          </w:tcPr>
          <w:p>
            <w:pPr>
              <w:pStyle w:val="TableContents"/>
              <w:bidi w:val="0"/>
              <w:spacing w:before="0" w:after="283"/>
              <w:jc w:val="left"/>
              <w:rPr/>
            </w:pPr>
            <w:r>
              <w:rPr/>
              <w:t> </w:t>
            </w:r>
          </w:p>
        </w:tc>
        <w:tc>
          <w:tcPr>
            <w:tcW w:w="959" w:type="dxa"/>
            <w:tcBorders/>
            <w:shd w:fill="CCEEFF" w:val="clear"/>
            <w:tcMar>
              <w:bottom w:w="0" w:type="dxa"/>
            </w:tcMar>
            <w:vAlign w:val="bottom"/>
          </w:tcPr>
          <w:p>
            <w:pPr>
              <w:pStyle w:val="TableContents"/>
              <w:bidi w:val="0"/>
              <w:spacing w:before="0" w:after="0"/>
              <w:jc w:val="right"/>
              <w:rPr>
                <w:sz w:val="20"/>
              </w:rPr>
            </w:pPr>
            <w:r>
              <w:rPr>
                <w:sz w:val="20"/>
              </w:rPr>
              <w:t>-</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1639" w:type="dxa"/>
            <w:tcBorders/>
            <w:shd w:fill="CCEEFF" w:val="clear"/>
            <w:tcMar>
              <w:bottom w:w="0" w:type="dxa"/>
            </w:tcMar>
            <w:vAlign w:val="bottom"/>
          </w:tcPr>
          <w:p>
            <w:pPr>
              <w:pStyle w:val="TableContents"/>
              <w:bidi w:val="0"/>
              <w:spacing w:before="0" w:after="0"/>
              <w:jc w:val="right"/>
              <w:rPr>
                <w:sz w:val="20"/>
              </w:rPr>
            </w:pPr>
            <w:r>
              <w:rPr>
                <w:sz w:val="20"/>
              </w:rPr>
              <w:t>1,227</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0"/>
              <w:jc w:val="right"/>
              <w:rPr>
                <w:sz w:val="20"/>
              </w:rPr>
            </w:pPr>
            <w:r>
              <w:rPr>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40" w:type="dxa"/>
            <w:gridSpan w:val="2"/>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sz w:val="20"/>
              </w:rPr>
            </w:pPr>
            <w:r>
              <w:rPr>
                <w:sz w:val="20"/>
              </w:rPr>
              <w:t>1,227</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6455" w:type="dxa"/>
            <w:tcBorders/>
            <w:tcMar>
              <w:bottom w:w="0" w:type="dxa"/>
            </w:tcMar>
            <w:vAlign w:val="bottom"/>
          </w:tcPr>
          <w:p>
            <w:pPr>
              <w:pStyle w:val="TableContents"/>
              <w:bidi w:val="0"/>
              <w:spacing w:before="0" w:after="0"/>
              <w:jc w:val="left"/>
              <w:rPr>
                <w:sz w:val="20"/>
              </w:rPr>
            </w:pPr>
            <w:r>
              <w:rPr>
                <w:sz w:val="20"/>
              </w:rPr>
              <w:t>Selling and marketing</w:t>
            </w:r>
          </w:p>
        </w:tc>
        <w:tc>
          <w:tcPr>
            <w:tcW w:w="60" w:type="dxa"/>
            <w:tcBorders/>
            <w:tcMar>
              <w:bottom w:w="0" w:type="dxa"/>
            </w:tcMar>
            <w:vAlign w:val="bottom"/>
          </w:tcPr>
          <w:p>
            <w:pPr>
              <w:pStyle w:val="TableContents"/>
              <w:bidi w:val="0"/>
              <w:spacing w:before="0" w:after="283"/>
              <w:jc w:val="left"/>
              <w:rPr/>
            </w:pPr>
            <w:r>
              <w:rPr/>
              <w:t> </w:t>
            </w:r>
          </w:p>
        </w:tc>
        <w:tc>
          <w:tcPr>
            <w:tcW w:w="234" w:type="dxa"/>
            <w:tcBorders/>
            <w:tcMar>
              <w:bottom w:w="0" w:type="dxa"/>
            </w:tcMar>
            <w:vAlign w:val="bottom"/>
          </w:tcPr>
          <w:p>
            <w:pPr>
              <w:pStyle w:val="TableContents"/>
              <w:bidi w:val="0"/>
              <w:spacing w:before="0" w:after="283"/>
              <w:jc w:val="left"/>
              <w:rPr/>
            </w:pPr>
            <w:r>
              <w:rPr/>
              <w:t> </w:t>
            </w:r>
          </w:p>
        </w:tc>
        <w:tc>
          <w:tcPr>
            <w:tcW w:w="1781" w:type="dxa"/>
            <w:tcBorders/>
            <w:tcMar>
              <w:bottom w:w="0" w:type="dxa"/>
            </w:tcMar>
            <w:vAlign w:val="bottom"/>
          </w:tcPr>
          <w:p>
            <w:pPr>
              <w:pStyle w:val="TableContents"/>
              <w:bidi w:val="0"/>
              <w:spacing w:before="0" w:after="0"/>
              <w:jc w:val="right"/>
              <w:rPr>
                <w:sz w:val="20"/>
              </w:rPr>
            </w:pPr>
            <w:r>
              <w:rPr>
                <w:sz w:val="20"/>
              </w:rPr>
              <w:t>14,136</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6" w:type="dxa"/>
            <w:tcBorders/>
            <w:tcMar>
              <w:bottom w:w="0" w:type="dxa"/>
            </w:tcMar>
            <w:vAlign w:val="bottom"/>
          </w:tcPr>
          <w:p>
            <w:pPr>
              <w:pStyle w:val="TableContents"/>
              <w:bidi w:val="0"/>
              <w:spacing w:before="0" w:after="283"/>
              <w:jc w:val="left"/>
              <w:rPr/>
            </w:pPr>
            <w:r>
              <w:rPr/>
              <w:t> </w:t>
            </w:r>
          </w:p>
        </w:tc>
        <w:tc>
          <w:tcPr>
            <w:tcW w:w="959" w:type="dxa"/>
            <w:tcBorders/>
            <w:tcMar>
              <w:bottom w:w="0" w:type="dxa"/>
            </w:tcMar>
            <w:vAlign w:val="bottom"/>
          </w:tcPr>
          <w:p>
            <w:pPr>
              <w:pStyle w:val="TableContents"/>
              <w:bidi w:val="0"/>
              <w:spacing w:before="0" w:after="0"/>
              <w:jc w:val="right"/>
              <w:rPr>
                <w:sz w:val="20"/>
              </w:rPr>
            </w:pPr>
            <w:r>
              <w:rPr>
                <w:sz w:val="20"/>
              </w:rPr>
              <w:t>-</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1" w:type="dxa"/>
            <w:tcBorders/>
            <w:tcMar>
              <w:bottom w:w="0" w:type="dxa"/>
            </w:tcMar>
            <w:vAlign w:val="bottom"/>
          </w:tcPr>
          <w:p>
            <w:pPr>
              <w:pStyle w:val="TableContents"/>
              <w:bidi w:val="0"/>
              <w:spacing w:before="0" w:after="283"/>
              <w:jc w:val="left"/>
              <w:rPr/>
            </w:pPr>
            <w:r>
              <w:rPr/>
              <w:t> </w:t>
            </w:r>
          </w:p>
        </w:tc>
        <w:tc>
          <w:tcPr>
            <w:tcW w:w="1639" w:type="dxa"/>
            <w:tcBorders/>
            <w:tcMar>
              <w:bottom w:w="0" w:type="dxa"/>
            </w:tcMar>
            <w:vAlign w:val="bottom"/>
          </w:tcPr>
          <w:p>
            <w:pPr>
              <w:pStyle w:val="TableContents"/>
              <w:bidi w:val="0"/>
              <w:spacing w:before="0" w:after="0"/>
              <w:jc w:val="right"/>
              <w:rPr>
                <w:sz w:val="20"/>
              </w:rPr>
            </w:pPr>
            <w:r>
              <w:rPr>
                <w:sz w:val="20"/>
              </w:rPr>
              <w:t>14,136</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26" w:type="dxa"/>
            <w:tcBorders/>
            <w:tcMar>
              <w:bottom w:w="0" w:type="dxa"/>
            </w:tcMar>
            <w:vAlign w:val="bottom"/>
          </w:tcPr>
          <w:p>
            <w:pPr>
              <w:pStyle w:val="TableContents"/>
              <w:bidi w:val="0"/>
              <w:spacing w:before="0" w:after="283"/>
              <w:jc w:val="left"/>
              <w:rPr/>
            </w:pPr>
            <w:r>
              <w:rPr/>
              <w:t> </w:t>
            </w:r>
          </w:p>
        </w:tc>
        <w:tc>
          <w:tcPr>
            <w:tcW w:w="1834" w:type="dxa"/>
            <w:tcBorders/>
            <w:tcMar>
              <w:bottom w:w="0" w:type="dxa"/>
            </w:tcMar>
            <w:vAlign w:val="bottom"/>
          </w:tcPr>
          <w:p>
            <w:pPr>
              <w:pStyle w:val="TableContents"/>
              <w:bidi w:val="0"/>
              <w:spacing w:before="0" w:after="0"/>
              <w:jc w:val="right"/>
              <w:rPr>
                <w:sz w:val="20"/>
              </w:rPr>
            </w:pPr>
            <w:r>
              <w:rPr>
                <w:sz w:val="2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40"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0"/>
              <w:jc w:val="right"/>
              <w:rPr>
                <w:sz w:val="20"/>
              </w:rPr>
            </w:pPr>
            <w:r>
              <w:rPr>
                <w:sz w:val="20"/>
              </w:rPr>
              <w:t>14,136</w:t>
            </w:r>
          </w:p>
        </w:tc>
        <w:tc>
          <w:tcPr>
            <w:tcW w:w="80" w:type="dxa"/>
            <w:tcBorders/>
            <w:tcMar>
              <w:bottom w:w="0" w:type="dxa"/>
            </w:tcMar>
            <w:vAlign w:val="bottom"/>
          </w:tcPr>
          <w:p>
            <w:pPr>
              <w:pStyle w:val="TableContents"/>
              <w:bidi w:val="0"/>
              <w:spacing w:before="0" w:after="283"/>
              <w:jc w:val="left"/>
              <w:rPr/>
            </w:pPr>
            <w:r>
              <w:rPr/>
              <w:t> </w:t>
            </w:r>
          </w:p>
        </w:tc>
      </w:tr>
      <w:tr>
        <w:trPr/>
        <w:tc>
          <w:tcPr>
            <w:tcW w:w="6455" w:type="dxa"/>
            <w:tcBorders/>
            <w:shd w:fill="CCEEFF" w:val="clear"/>
            <w:tcMar>
              <w:bottom w:w="0" w:type="dxa"/>
            </w:tcMar>
            <w:vAlign w:val="bottom"/>
          </w:tcPr>
          <w:p>
            <w:pPr>
              <w:pStyle w:val="TableContents"/>
              <w:bidi w:val="0"/>
              <w:spacing w:before="0" w:after="0"/>
              <w:jc w:val="left"/>
              <w:rPr>
                <w:sz w:val="20"/>
              </w:rPr>
            </w:pPr>
            <w:r>
              <w:rPr>
                <w:sz w:val="20"/>
              </w:rPr>
              <w:t>Research and development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34" w:type="dxa"/>
            <w:tcBorders/>
            <w:shd w:fill="CCEEFF" w:val="clear"/>
            <w:tcMar>
              <w:bottom w:w="0" w:type="dxa"/>
            </w:tcMar>
            <w:vAlign w:val="bottom"/>
          </w:tcPr>
          <w:p>
            <w:pPr>
              <w:pStyle w:val="TableContents"/>
              <w:bidi w:val="0"/>
              <w:spacing w:before="0" w:after="283"/>
              <w:jc w:val="left"/>
              <w:rPr/>
            </w:pPr>
            <w:r>
              <w:rPr/>
              <w:t> </w:t>
            </w:r>
          </w:p>
        </w:tc>
        <w:tc>
          <w:tcPr>
            <w:tcW w:w="1781" w:type="dxa"/>
            <w:tcBorders/>
            <w:shd w:fill="CCEEFF" w:val="clear"/>
            <w:tcMar>
              <w:bottom w:w="0" w:type="dxa"/>
            </w:tcMar>
            <w:vAlign w:val="bottom"/>
          </w:tcPr>
          <w:p>
            <w:pPr>
              <w:pStyle w:val="TableContents"/>
              <w:bidi w:val="0"/>
              <w:spacing w:before="0" w:after="0"/>
              <w:jc w:val="right"/>
              <w:rPr>
                <w:sz w:val="20"/>
              </w:rPr>
            </w:pPr>
            <w:r>
              <w:rPr>
                <w:sz w:val="20"/>
              </w:rPr>
              <w:t>6,738</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6" w:type="dxa"/>
            <w:tcBorders/>
            <w:shd w:fill="CCEEFF" w:val="clear"/>
            <w:tcMar>
              <w:bottom w:w="0" w:type="dxa"/>
            </w:tcMar>
            <w:vAlign w:val="bottom"/>
          </w:tcPr>
          <w:p>
            <w:pPr>
              <w:pStyle w:val="TableContents"/>
              <w:bidi w:val="0"/>
              <w:spacing w:before="0" w:after="283"/>
              <w:jc w:val="left"/>
              <w:rPr/>
            </w:pPr>
            <w:r>
              <w:rPr/>
              <w:t> </w:t>
            </w:r>
          </w:p>
        </w:tc>
        <w:tc>
          <w:tcPr>
            <w:tcW w:w="959" w:type="dxa"/>
            <w:tcBorders/>
            <w:shd w:fill="CCEEFF" w:val="clear"/>
            <w:tcMar>
              <w:bottom w:w="0" w:type="dxa"/>
            </w:tcMar>
            <w:vAlign w:val="bottom"/>
          </w:tcPr>
          <w:p>
            <w:pPr>
              <w:pStyle w:val="TableContents"/>
              <w:bidi w:val="0"/>
              <w:spacing w:before="0" w:after="0"/>
              <w:jc w:val="right"/>
              <w:rPr>
                <w:sz w:val="20"/>
              </w:rPr>
            </w:pPr>
            <w:r>
              <w:rPr>
                <w:sz w:val="20"/>
              </w:rPr>
              <w:t>4,743</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1639" w:type="dxa"/>
            <w:tcBorders/>
            <w:shd w:fill="CCEEFF" w:val="clear"/>
            <w:tcMar>
              <w:bottom w:w="0" w:type="dxa"/>
            </w:tcMar>
            <w:vAlign w:val="bottom"/>
          </w:tcPr>
          <w:p>
            <w:pPr>
              <w:pStyle w:val="TableContents"/>
              <w:bidi w:val="0"/>
              <w:spacing w:before="0" w:after="0"/>
              <w:jc w:val="right"/>
              <w:rPr>
                <w:sz w:val="20"/>
              </w:rPr>
            </w:pPr>
            <w:r>
              <w:rPr>
                <w:sz w:val="20"/>
              </w:rPr>
              <w:t>11,481</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0"/>
              <w:jc w:val="right"/>
              <w:rPr>
                <w:sz w:val="20"/>
              </w:rPr>
            </w:pPr>
            <w:r>
              <w:rPr>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740" w:type="dxa"/>
            <w:gridSpan w:val="2"/>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sz w:val="20"/>
              </w:rPr>
            </w:pPr>
            <w:r>
              <w:rPr>
                <w:sz w:val="20"/>
              </w:rPr>
              <w:t>11,481</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6455" w:type="dxa"/>
            <w:tcBorders/>
            <w:tcMar>
              <w:bottom w:w="0" w:type="dxa"/>
            </w:tcMar>
            <w:vAlign w:val="bottom"/>
          </w:tcPr>
          <w:p>
            <w:pPr>
              <w:pStyle w:val="TableContents"/>
              <w:bidi w:val="0"/>
              <w:spacing w:before="0" w:after="0"/>
              <w:jc w:val="left"/>
              <w:rPr>
                <w:sz w:val="20"/>
              </w:rPr>
            </w:pPr>
            <w:r>
              <w:rPr>
                <w:sz w:val="20"/>
              </w:rPr>
              <w:t>General and administrative</w:t>
            </w:r>
          </w:p>
        </w:tc>
        <w:tc>
          <w:tcPr>
            <w:tcW w:w="60" w:type="dxa"/>
            <w:tcBorders/>
            <w:tcMar>
              <w:bottom w:w="0" w:type="dxa"/>
            </w:tcMar>
            <w:vAlign w:val="bottom"/>
          </w:tcPr>
          <w:p>
            <w:pPr>
              <w:pStyle w:val="TableContents"/>
              <w:bidi w:val="0"/>
              <w:spacing w:before="0" w:after="283"/>
              <w:jc w:val="left"/>
              <w:rPr/>
            </w:pPr>
            <w:r>
              <w:rPr/>
              <w:t> </w:t>
            </w:r>
          </w:p>
        </w:tc>
        <w:tc>
          <w:tcPr>
            <w:tcW w:w="234" w:type="dxa"/>
            <w:tcBorders/>
            <w:tcMar>
              <w:bottom w:w="0" w:type="dxa"/>
            </w:tcMar>
            <w:vAlign w:val="bottom"/>
          </w:tcPr>
          <w:p>
            <w:pPr>
              <w:pStyle w:val="TableContents"/>
              <w:bidi w:val="0"/>
              <w:spacing w:before="0" w:after="283"/>
              <w:jc w:val="left"/>
              <w:rPr/>
            </w:pPr>
            <w:r>
              <w:rPr/>
              <w:t> </w:t>
            </w:r>
          </w:p>
        </w:tc>
        <w:tc>
          <w:tcPr>
            <w:tcW w:w="1781" w:type="dxa"/>
            <w:tcBorders/>
            <w:tcMar>
              <w:bottom w:w="0" w:type="dxa"/>
            </w:tcMar>
            <w:vAlign w:val="bottom"/>
          </w:tcPr>
          <w:p>
            <w:pPr>
              <w:pStyle w:val="TableContents"/>
              <w:bidi w:val="0"/>
              <w:spacing w:before="0" w:after="0"/>
              <w:jc w:val="right"/>
              <w:rPr>
                <w:sz w:val="20"/>
              </w:rPr>
            </w:pPr>
            <w:r>
              <w:rPr>
                <w:sz w:val="20"/>
              </w:rPr>
              <w:t>7,220</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6" w:type="dxa"/>
            <w:tcBorders/>
            <w:tcMar>
              <w:bottom w:w="0" w:type="dxa"/>
            </w:tcMar>
            <w:vAlign w:val="bottom"/>
          </w:tcPr>
          <w:p>
            <w:pPr>
              <w:pStyle w:val="TableContents"/>
              <w:bidi w:val="0"/>
              <w:spacing w:before="0" w:after="283"/>
              <w:jc w:val="left"/>
              <w:rPr/>
            </w:pPr>
            <w:r>
              <w:rPr/>
              <w:t> </w:t>
            </w:r>
          </w:p>
        </w:tc>
        <w:tc>
          <w:tcPr>
            <w:tcW w:w="959" w:type="dxa"/>
            <w:tcBorders/>
            <w:tcMar>
              <w:bottom w:w="0" w:type="dxa"/>
            </w:tcMar>
            <w:vAlign w:val="bottom"/>
          </w:tcPr>
          <w:p>
            <w:pPr>
              <w:pStyle w:val="TableContents"/>
              <w:bidi w:val="0"/>
              <w:spacing w:before="0" w:after="0"/>
              <w:jc w:val="right"/>
              <w:rPr>
                <w:sz w:val="20"/>
              </w:rPr>
            </w:pPr>
            <w:r>
              <w:rPr>
                <w:sz w:val="20"/>
              </w:rPr>
              <w:t>6,785</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1" w:type="dxa"/>
            <w:tcBorders/>
            <w:tcMar>
              <w:bottom w:w="0" w:type="dxa"/>
            </w:tcMar>
            <w:vAlign w:val="bottom"/>
          </w:tcPr>
          <w:p>
            <w:pPr>
              <w:pStyle w:val="TableContents"/>
              <w:bidi w:val="0"/>
              <w:spacing w:before="0" w:after="283"/>
              <w:jc w:val="left"/>
              <w:rPr/>
            </w:pPr>
            <w:r>
              <w:rPr/>
              <w:t> </w:t>
            </w:r>
          </w:p>
        </w:tc>
        <w:tc>
          <w:tcPr>
            <w:tcW w:w="1639" w:type="dxa"/>
            <w:tcBorders/>
            <w:tcMar>
              <w:bottom w:w="0" w:type="dxa"/>
            </w:tcMar>
            <w:vAlign w:val="bottom"/>
          </w:tcPr>
          <w:p>
            <w:pPr>
              <w:pStyle w:val="TableContents"/>
              <w:bidi w:val="0"/>
              <w:spacing w:before="0" w:after="0"/>
              <w:jc w:val="right"/>
              <w:rPr>
                <w:sz w:val="20"/>
              </w:rPr>
            </w:pPr>
            <w:r>
              <w:rPr>
                <w:sz w:val="20"/>
              </w:rPr>
              <w:t>14,005</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26" w:type="dxa"/>
            <w:tcBorders/>
            <w:tcMar>
              <w:bottom w:w="0" w:type="dxa"/>
            </w:tcMar>
            <w:vAlign w:val="bottom"/>
          </w:tcPr>
          <w:p>
            <w:pPr>
              <w:pStyle w:val="TableContents"/>
              <w:bidi w:val="0"/>
              <w:spacing w:before="0" w:after="283"/>
              <w:jc w:val="left"/>
              <w:rPr/>
            </w:pPr>
            <w:r>
              <w:rPr/>
              <w:t> </w:t>
            </w:r>
          </w:p>
        </w:tc>
        <w:tc>
          <w:tcPr>
            <w:tcW w:w="1834" w:type="dxa"/>
            <w:tcBorders/>
            <w:tcMar>
              <w:bottom w:w="0" w:type="dxa"/>
            </w:tcMar>
            <w:vAlign w:val="bottom"/>
          </w:tcPr>
          <w:p>
            <w:pPr>
              <w:pStyle w:val="TableContents"/>
              <w:bidi w:val="0"/>
              <w:spacing w:before="0" w:after="0"/>
              <w:jc w:val="right"/>
              <w:rPr>
                <w:sz w:val="20"/>
              </w:rPr>
            </w:pPr>
            <w:r>
              <w:rPr>
                <w:sz w:val="2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40"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0"/>
              <w:jc w:val="right"/>
              <w:rPr>
                <w:sz w:val="20"/>
              </w:rPr>
            </w:pPr>
            <w:r>
              <w:rPr>
                <w:sz w:val="20"/>
              </w:rPr>
              <w:t>14,005</w:t>
            </w:r>
          </w:p>
        </w:tc>
        <w:tc>
          <w:tcPr>
            <w:tcW w:w="80" w:type="dxa"/>
            <w:tcBorders/>
            <w:tcMar>
              <w:bottom w:w="0" w:type="dxa"/>
            </w:tcMar>
            <w:vAlign w:val="bottom"/>
          </w:tcPr>
          <w:p>
            <w:pPr>
              <w:pStyle w:val="TableContents"/>
              <w:bidi w:val="0"/>
              <w:spacing w:before="0" w:after="283"/>
              <w:jc w:val="left"/>
              <w:rPr/>
            </w:pPr>
            <w:r>
              <w:rPr/>
              <w:t> </w:t>
            </w:r>
          </w:p>
        </w:tc>
      </w:tr>
      <w:tr>
        <w:trPr/>
        <w:tc>
          <w:tcPr>
            <w:tcW w:w="6455" w:type="dxa"/>
            <w:tcBorders>
              <w:bottom w:val="single" w:sz="12" w:space="0" w:color="000000"/>
            </w:tcBorders>
            <w:shd w:fill="CCEEFF" w:val="clear"/>
            <w:vAlign w:val="bottom"/>
          </w:tcPr>
          <w:p>
            <w:pPr>
              <w:pStyle w:val="TableContents"/>
              <w:bidi w:val="0"/>
              <w:spacing w:before="0" w:after="0"/>
              <w:jc w:val="left"/>
              <w:rPr>
                <w:sz w:val="20"/>
              </w:rPr>
            </w:pPr>
            <w:r>
              <w:rPr>
                <w:sz w:val="20"/>
              </w:rPr>
              <w:t>Transaction costs</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34" w:type="dxa"/>
            <w:tcBorders>
              <w:bottom w:val="single" w:sz="12" w:space="0" w:color="000000"/>
            </w:tcBorders>
            <w:shd w:fill="CCEEFF" w:val="clear"/>
            <w:vAlign w:val="bottom"/>
          </w:tcPr>
          <w:p>
            <w:pPr>
              <w:pStyle w:val="TableContents"/>
              <w:bidi w:val="0"/>
              <w:spacing w:before="0" w:after="283"/>
              <w:jc w:val="left"/>
              <w:rPr/>
            </w:pPr>
            <w:r>
              <w:rPr/>
              <w:t> </w:t>
            </w:r>
          </w:p>
        </w:tc>
        <w:tc>
          <w:tcPr>
            <w:tcW w:w="1781" w:type="dxa"/>
            <w:tcBorders>
              <w:bottom w:val="single" w:sz="12" w:space="0" w:color="000000"/>
            </w:tcBorders>
            <w:shd w:fill="CCEEFF" w:val="clear"/>
            <w:vAlign w:val="bottom"/>
          </w:tcPr>
          <w:p>
            <w:pPr>
              <w:pStyle w:val="TableContents"/>
              <w:bidi w:val="0"/>
              <w:spacing w:before="0" w:after="0"/>
              <w:jc w:val="right"/>
              <w:rPr>
                <w:sz w:val="20"/>
              </w:rPr>
            </w:pPr>
            <w:r>
              <w:rPr>
                <w:sz w:val="20"/>
              </w:rPr>
              <w:t>2,553</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vAlign w:val="bottom"/>
          </w:tcPr>
          <w:p>
            <w:pPr>
              <w:pStyle w:val="TableContents"/>
              <w:bidi w:val="0"/>
              <w:spacing w:before="0" w:after="283"/>
              <w:jc w:val="left"/>
              <w:rPr/>
            </w:pPr>
            <w:r>
              <w:rPr/>
              <w:t> </w:t>
            </w:r>
          </w:p>
        </w:tc>
        <w:tc>
          <w:tcPr>
            <w:tcW w:w="959" w:type="dxa"/>
            <w:tcBorders>
              <w:bottom w:val="single" w:sz="12" w:space="0" w:color="000000"/>
            </w:tcBorders>
            <w:shd w:fill="CCEEFF" w:val="clear"/>
            <w:vAlign w:val="bottom"/>
          </w:tcPr>
          <w:p>
            <w:pPr>
              <w:pStyle w:val="TableContents"/>
              <w:bidi w:val="0"/>
              <w:spacing w:before="0" w:after="0"/>
              <w:jc w:val="right"/>
              <w:rPr>
                <w:sz w:val="20"/>
              </w:rPr>
            </w:pPr>
            <w:r>
              <w:rPr>
                <w:sz w:val="20"/>
              </w:rPr>
              <w:t>-</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vAlign w:val="bottom"/>
          </w:tcPr>
          <w:p>
            <w:pPr>
              <w:pStyle w:val="TableContents"/>
              <w:bidi w:val="0"/>
              <w:spacing w:before="0" w:after="283"/>
              <w:jc w:val="left"/>
              <w:rPr/>
            </w:pPr>
            <w:r>
              <w:rPr/>
              <w:t> </w:t>
            </w:r>
          </w:p>
        </w:tc>
        <w:tc>
          <w:tcPr>
            <w:tcW w:w="1639" w:type="dxa"/>
            <w:tcBorders>
              <w:bottom w:val="single" w:sz="12" w:space="0" w:color="000000"/>
            </w:tcBorders>
            <w:shd w:fill="CCEEFF" w:val="clear"/>
            <w:vAlign w:val="bottom"/>
          </w:tcPr>
          <w:p>
            <w:pPr>
              <w:pStyle w:val="TableContents"/>
              <w:bidi w:val="0"/>
              <w:spacing w:before="0" w:after="0"/>
              <w:jc w:val="right"/>
              <w:rPr>
                <w:sz w:val="20"/>
              </w:rPr>
            </w:pPr>
            <w:r>
              <w:rPr>
                <w:sz w:val="20"/>
              </w:rPr>
              <w:t>2,553</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vAlign w:val="bottom"/>
          </w:tcPr>
          <w:p>
            <w:pPr>
              <w:pStyle w:val="TableContents"/>
              <w:bidi w:val="0"/>
              <w:spacing w:before="0" w:after="283"/>
              <w:jc w:val="left"/>
              <w:rPr/>
            </w:pPr>
            <w:r>
              <w:rPr/>
              <w:t> </w:t>
            </w:r>
          </w:p>
        </w:tc>
        <w:tc>
          <w:tcPr>
            <w:tcW w:w="1834" w:type="dxa"/>
            <w:tcBorders>
              <w:bottom w:val="single" w:sz="12" w:space="0" w:color="000000"/>
            </w:tcBorders>
            <w:shd w:fill="CCEEFF" w:val="clear"/>
            <w:vAlign w:val="bottom"/>
          </w:tcPr>
          <w:p>
            <w:pPr>
              <w:pStyle w:val="TableContents"/>
              <w:bidi w:val="0"/>
              <w:spacing w:before="0" w:after="0"/>
              <w:jc w:val="right"/>
              <w:rPr>
                <w:sz w:val="20"/>
              </w:rPr>
            </w:pPr>
            <w:r>
              <w:rPr>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0"/>
              <w:jc w:val="center"/>
              <w:rPr>
                <w:sz w:val="20"/>
              </w:rPr>
            </w:pPr>
            <w:r>
              <w:rPr>
                <w:sz w:val="20"/>
              </w:rPr>
            </w:r>
          </w:p>
        </w:tc>
        <w:tc>
          <w:tcPr>
            <w:tcW w:w="60" w:type="dxa"/>
            <w:tcBorders>
              <w:bottom w:val="single" w:sz="12" w:space="0" w:color="000000"/>
            </w:tcBorders>
            <w:shd w:fill="CCEEFF" w:val="clear"/>
            <w:vAlign w:val="bottom"/>
          </w:tcPr>
          <w:p>
            <w:pPr>
              <w:pStyle w:val="TableContents"/>
              <w:bidi w:val="0"/>
              <w:spacing w:before="0" w:after="0"/>
              <w:jc w:val="left"/>
              <w:rPr>
                <w:sz w:val="20"/>
              </w:rPr>
            </w:pPr>
            <w:r>
              <w:rPr>
                <w:sz w:val="20"/>
              </w:rPr>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1055" w:type="dxa"/>
            <w:tcBorders>
              <w:bottom w:val="single" w:sz="12" w:space="0" w:color="000000"/>
            </w:tcBorders>
            <w:shd w:fill="CCEEFF" w:val="clear"/>
            <w:vAlign w:val="bottom"/>
          </w:tcPr>
          <w:p>
            <w:pPr>
              <w:pStyle w:val="TableContents"/>
              <w:bidi w:val="0"/>
              <w:spacing w:before="0" w:after="0"/>
              <w:jc w:val="right"/>
              <w:rPr>
                <w:sz w:val="20"/>
              </w:rPr>
            </w:pPr>
            <w:r>
              <w:rPr>
                <w:sz w:val="20"/>
              </w:rPr>
              <w:t>2,553</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6455" w:type="dxa"/>
            <w:tcBorders>
              <w:bottom w:val="single" w:sz="12" w:space="0" w:color="000000"/>
            </w:tcBorders>
            <w:vAlign w:val="bottom"/>
          </w:tcPr>
          <w:p>
            <w:pPr>
              <w:pStyle w:val="TableContents"/>
              <w:bidi w:val="0"/>
              <w:spacing w:before="0" w:after="0"/>
              <w:jc w:val="left"/>
              <w:rPr>
                <w:b/>
                <w:sz w:val="20"/>
              </w:rPr>
            </w:pPr>
            <w:r>
              <w:rPr>
                <w:b/>
                <w:sz w:val="20"/>
              </w:rPr>
              <w:t>Total operating expenses:</w:t>
            </w:r>
          </w:p>
        </w:tc>
        <w:tc>
          <w:tcPr>
            <w:tcW w:w="60" w:type="dxa"/>
            <w:tcBorders>
              <w:bottom w:val="single" w:sz="12" w:space="0" w:color="000000"/>
            </w:tcBorders>
            <w:vAlign w:val="bottom"/>
          </w:tcPr>
          <w:p>
            <w:pPr>
              <w:pStyle w:val="TableContents"/>
              <w:bidi w:val="0"/>
              <w:spacing w:before="0" w:after="283"/>
              <w:jc w:val="left"/>
              <w:rPr/>
            </w:pPr>
            <w:r>
              <w:rPr/>
              <w:t> </w:t>
            </w:r>
          </w:p>
        </w:tc>
        <w:tc>
          <w:tcPr>
            <w:tcW w:w="234" w:type="dxa"/>
            <w:tcBorders>
              <w:bottom w:val="single" w:sz="12" w:space="0" w:color="000000"/>
            </w:tcBorders>
            <w:vAlign w:val="bottom"/>
          </w:tcPr>
          <w:p>
            <w:pPr>
              <w:pStyle w:val="TableContents"/>
              <w:bidi w:val="0"/>
              <w:spacing w:before="0" w:after="283"/>
              <w:jc w:val="left"/>
              <w:rPr/>
            </w:pPr>
            <w:r>
              <w:rPr/>
              <w:t> </w:t>
            </w:r>
          </w:p>
        </w:tc>
        <w:tc>
          <w:tcPr>
            <w:tcW w:w="1781" w:type="dxa"/>
            <w:tcBorders>
              <w:bottom w:val="single" w:sz="12" w:space="0" w:color="000000"/>
            </w:tcBorders>
            <w:vAlign w:val="bottom"/>
          </w:tcPr>
          <w:p>
            <w:pPr>
              <w:pStyle w:val="TableContents"/>
              <w:bidi w:val="0"/>
              <w:spacing w:before="0" w:after="0"/>
              <w:jc w:val="right"/>
              <w:rPr>
                <w:b/>
                <w:sz w:val="20"/>
              </w:rPr>
            </w:pPr>
            <w:r>
              <w:rPr>
                <w:b/>
                <w:sz w:val="20"/>
              </w:rPr>
              <w:t>31,874</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26" w:type="dxa"/>
            <w:tcBorders>
              <w:bottom w:val="single" w:sz="12" w:space="0" w:color="000000"/>
            </w:tcBorders>
            <w:vAlign w:val="bottom"/>
          </w:tcPr>
          <w:p>
            <w:pPr>
              <w:pStyle w:val="TableContents"/>
              <w:bidi w:val="0"/>
              <w:spacing w:before="0" w:after="283"/>
              <w:jc w:val="left"/>
              <w:rPr/>
            </w:pPr>
            <w:r>
              <w:rPr/>
              <w:t> </w:t>
            </w:r>
          </w:p>
        </w:tc>
        <w:tc>
          <w:tcPr>
            <w:tcW w:w="959" w:type="dxa"/>
            <w:tcBorders>
              <w:bottom w:val="single" w:sz="12" w:space="0" w:color="000000"/>
            </w:tcBorders>
            <w:vAlign w:val="bottom"/>
          </w:tcPr>
          <w:p>
            <w:pPr>
              <w:pStyle w:val="TableContents"/>
              <w:bidi w:val="0"/>
              <w:spacing w:before="0" w:after="0"/>
              <w:jc w:val="right"/>
              <w:rPr>
                <w:b/>
                <w:sz w:val="20"/>
              </w:rPr>
            </w:pPr>
            <w:r>
              <w:rPr>
                <w:b/>
                <w:sz w:val="20"/>
              </w:rPr>
              <w:t>11,528</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51" w:type="dxa"/>
            <w:tcBorders>
              <w:bottom w:val="single" w:sz="12" w:space="0" w:color="000000"/>
            </w:tcBorders>
            <w:vAlign w:val="bottom"/>
          </w:tcPr>
          <w:p>
            <w:pPr>
              <w:pStyle w:val="TableContents"/>
              <w:bidi w:val="0"/>
              <w:spacing w:before="0" w:after="283"/>
              <w:jc w:val="left"/>
              <w:rPr/>
            </w:pPr>
            <w:r>
              <w:rPr/>
              <w:t> </w:t>
            </w:r>
          </w:p>
        </w:tc>
        <w:tc>
          <w:tcPr>
            <w:tcW w:w="1639" w:type="dxa"/>
            <w:tcBorders>
              <w:bottom w:val="single" w:sz="12" w:space="0" w:color="000000"/>
            </w:tcBorders>
            <w:vAlign w:val="bottom"/>
          </w:tcPr>
          <w:p>
            <w:pPr>
              <w:pStyle w:val="TableContents"/>
              <w:bidi w:val="0"/>
              <w:spacing w:before="0" w:after="0"/>
              <w:jc w:val="right"/>
              <w:rPr>
                <w:b/>
                <w:sz w:val="20"/>
              </w:rPr>
            </w:pPr>
            <w:r>
              <w:rPr>
                <w:b/>
                <w:sz w:val="20"/>
              </w:rPr>
              <w:t>43,402</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26" w:type="dxa"/>
            <w:tcBorders>
              <w:bottom w:val="single" w:sz="12" w:space="0" w:color="000000"/>
            </w:tcBorders>
            <w:vAlign w:val="bottom"/>
          </w:tcPr>
          <w:p>
            <w:pPr>
              <w:pStyle w:val="TableContents"/>
              <w:bidi w:val="0"/>
              <w:spacing w:before="0" w:after="283"/>
              <w:jc w:val="left"/>
              <w:rPr/>
            </w:pPr>
            <w:r>
              <w:rPr/>
              <w:t> </w:t>
            </w:r>
          </w:p>
        </w:tc>
        <w:tc>
          <w:tcPr>
            <w:tcW w:w="1834" w:type="dxa"/>
            <w:tcBorders>
              <w:bottom w:val="single" w:sz="12" w:space="0" w:color="000000"/>
            </w:tcBorders>
            <w:vAlign w:val="bottom"/>
          </w:tcPr>
          <w:p>
            <w:pPr>
              <w:pStyle w:val="TableContents"/>
              <w:bidi w:val="0"/>
              <w:spacing w:before="0" w:after="0"/>
              <w:jc w:val="right"/>
              <w:rPr>
                <w:b/>
                <w:sz w:val="20"/>
              </w:rPr>
            </w:pPr>
            <w:r>
              <w:rPr>
                <w:b/>
                <w:sz w:val="2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1055" w:type="dxa"/>
            <w:tcBorders>
              <w:bottom w:val="single" w:sz="12" w:space="0" w:color="000000"/>
            </w:tcBorders>
            <w:vAlign w:val="bottom"/>
          </w:tcPr>
          <w:p>
            <w:pPr>
              <w:pStyle w:val="TableContents"/>
              <w:bidi w:val="0"/>
              <w:spacing w:before="0" w:after="0"/>
              <w:jc w:val="right"/>
              <w:rPr>
                <w:b/>
                <w:sz w:val="20"/>
              </w:rPr>
            </w:pPr>
            <w:r>
              <w:rPr>
                <w:b/>
                <w:sz w:val="20"/>
              </w:rPr>
              <w:t>43,402</w:t>
            </w:r>
          </w:p>
        </w:tc>
        <w:tc>
          <w:tcPr>
            <w:tcW w:w="80" w:type="dxa"/>
            <w:tcBorders/>
            <w:tcMar>
              <w:bottom w:w="0" w:type="dxa"/>
            </w:tcMar>
            <w:vAlign w:val="bottom"/>
          </w:tcPr>
          <w:p>
            <w:pPr>
              <w:pStyle w:val="TableContents"/>
              <w:bidi w:val="0"/>
              <w:spacing w:before="0" w:after="283"/>
              <w:jc w:val="left"/>
              <w:rPr/>
            </w:pPr>
            <w:r>
              <w:rPr/>
              <w:t> </w:t>
            </w:r>
          </w:p>
        </w:tc>
      </w:tr>
      <w:tr>
        <w:trPr/>
        <w:tc>
          <w:tcPr>
            <w:tcW w:w="6455" w:type="dxa"/>
            <w:tcBorders/>
            <w:shd w:fill="CCEEFF" w:val="clear"/>
            <w:tcMar>
              <w:bottom w:w="0" w:type="dxa"/>
            </w:tcMar>
            <w:vAlign w:val="bottom"/>
          </w:tcPr>
          <w:p>
            <w:pPr>
              <w:pStyle w:val="TableContents"/>
              <w:bidi w:val="0"/>
              <w:spacing w:before="0" w:after="0"/>
              <w:jc w:val="left"/>
              <w:rPr>
                <w:b/>
                <w:sz w:val="20"/>
              </w:rPr>
            </w:pPr>
            <w:r>
              <w:rPr>
                <w:b/>
                <w:sz w:val="20"/>
              </w:rPr>
              <w:t>Loss from operations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34" w:type="dxa"/>
            <w:tcBorders/>
            <w:shd w:fill="CCEEFF" w:val="clear"/>
            <w:tcMar>
              <w:bottom w:w="0" w:type="dxa"/>
            </w:tcMar>
            <w:vAlign w:val="bottom"/>
          </w:tcPr>
          <w:p>
            <w:pPr>
              <w:pStyle w:val="TableContents"/>
              <w:bidi w:val="0"/>
              <w:spacing w:before="0" w:after="283"/>
              <w:jc w:val="left"/>
              <w:rPr/>
            </w:pPr>
            <w:r>
              <w:rPr/>
              <w:t> </w:t>
            </w:r>
          </w:p>
        </w:tc>
        <w:tc>
          <w:tcPr>
            <w:tcW w:w="1781" w:type="dxa"/>
            <w:tcBorders/>
            <w:shd w:fill="CCEEFF" w:val="clear"/>
            <w:tcMar>
              <w:bottom w:w="0" w:type="dxa"/>
            </w:tcMar>
            <w:vAlign w:val="bottom"/>
          </w:tcPr>
          <w:p>
            <w:pPr>
              <w:pStyle w:val="TableContents"/>
              <w:bidi w:val="0"/>
              <w:spacing w:before="0" w:after="0"/>
              <w:jc w:val="right"/>
              <w:rPr>
                <w:b/>
                <w:sz w:val="20"/>
              </w:rPr>
            </w:pPr>
            <w:r>
              <w:rPr>
                <w:b/>
                <w:sz w:val="20"/>
              </w:rPr>
              <w:t>(9,355</w:t>
            </w:r>
          </w:p>
        </w:tc>
        <w:tc>
          <w:tcPr>
            <w:tcW w:w="80" w:type="dxa"/>
            <w:tcBorders/>
            <w:shd w:fill="CCEEFF" w:val="clear"/>
            <w:tcMar>
              <w:bottom w:w="0" w:type="dxa"/>
            </w:tcMar>
            <w:vAlign w:val="bottom"/>
          </w:tcPr>
          <w:p>
            <w:pPr>
              <w:pStyle w:val="TableContents"/>
              <w:bidi w:val="0"/>
              <w:spacing w:before="0" w:after="0"/>
              <w:jc w:val="left"/>
              <w:rPr>
                <w:b/>
                <w:sz w:val="20"/>
              </w:rPr>
            </w:pPr>
            <w:r>
              <w:rPr>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6" w:type="dxa"/>
            <w:tcBorders/>
            <w:shd w:fill="CCEEFF" w:val="clear"/>
            <w:tcMar>
              <w:bottom w:w="0" w:type="dxa"/>
            </w:tcMar>
            <w:vAlign w:val="bottom"/>
          </w:tcPr>
          <w:p>
            <w:pPr>
              <w:pStyle w:val="TableContents"/>
              <w:bidi w:val="0"/>
              <w:spacing w:before="0" w:after="283"/>
              <w:jc w:val="left"/>
              <w:rPr/>
            </w:pPr>
            <w:r>
              <w:rPr/>
              <w:t> </w:t>
            </w:r>
          </w:p>
        </w:tc>
        <w:tc>
          <w:tcPr>
            <w:tcW w:w="959" w:type="dxa"/>
            <w:tcBorders/>
            <w:shd w:fill="CCEEFF" w:val="clear"/>
            <w:tcMar>
              <w:bottom w:w="0" w:type="dxa"/>
            </w:tcMar>
            <w:vAlign w:val="bottom"/>
          </w:tcPr>
          <w:p>
            <w:pPr>
              <w:pStyle w:val="TableContents"/>
              <w:bidi w:val="0"/>
              <w:spacing w:before="0" w:after="0"/>
              <w:jc w:val="right"/>
              <w:rPr>
                <w:b/>
                <w:sz w:val="20"/>
              </w:rPr>
            </w:pPr>
            <w:r>
              <w:rPr>
                <w:b/>
                <w:sz w:val="20"/>
              </w:rPr>
              <w:t>(9,617</w:t>
            </w:r>
          </w:p>
        </w:tc>
        <w:tc>
          <w:tcPr>
            <w:tcW w:w="80" w:type="dxa"/>
            <w:tcBorders/>
            <w:shd w:fill="CCEEFF" w:val="clear"/>
            <w:tcMar>
              <w:bottom w:w="0" w:type="dxa"/>
            </w:tcMar>
            <w:vAlign w:val="bottom"/>
          </w:tcPr>
          <w:p>
            <w:pPr>
              <w:pStyle w:val="TableContents"/>
              <w:bidi w:val="0"/>
              <w:spacing w:before="0" w:after="0"/>
              <w:jc w:val="left"/>
              <w:rPr>
                <w:b/>
                <w:sz w:val="20"/>
              </w:rPr>
            </w:pPr>
            <w:r>
              <w:rPr>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1639" w:type="dxa"/>
            <w:tcBorders/>
            <w:shd w:fill="CCEEFF" w:val="clear"/>
            <w:tcMar>
              <w:bottom w:w="0" w:type="dxa"/>
            </w:tcMar>
            <w:vAlign w:val="bottom"/>
          </w:tcPr>
          <w:p>
            <w:pPr>
              <w:pStyle w:val="TableContents"/>
              <w:bidi w:val="0"/>
              <w:spacing w:before="0" w:after="0"/>
              <w:jc w:val="right"/>
              <w:rPr>
                <w:b/>
                <w:sz w:val="20"/>
              </w:rPr>
            </w:pPr>
            <w:r>
              <w:rPr>
                <w:b/>
                <w:sz w:val="20"/>
              </w:rPr>
              <w:t>(18,972</w:t>
            </w:r>
          </w:p>
        </w:tc>
        <w:tc>
          <w:tcPr>
            <w:tcW w:w="80" w:type="dxa"/>
            <w:tcBorders/>
            <w:shd w:fill="CCEEFF" w:val="clear"/>
            <w:tcMar>
              <w:bottom w:w="0" w:type="dxa"/>
            </w:tcMar>
            <w:vAlign w:val="bottom"/>
          </w:tcPr>
          <w:p>
            <w:pPr>
              <w:pStyle w:val="TableContents"/>
              <w:bidi w:val="0"/>
              <w:spacing w:before="0" w:after="0"/>
              <w:jc w:val="left"/>
              <w:rPr>
                <w:b/>
                <w:sz w:val="20"/>
              </w:rPr>
            </w:pPr>
            <w:r>
              <w:rPr>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0"/>
              <w:jc w:val="right"/>
              <w:rPr>
                <w:b/>
                <w:sz w:val="20"/>
              </w:rPr>
            </w:pPr>
            <w:r>
              <w:rPr>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b/>
                <w:sz w:val="20"/>
              </w:rPr>
            </w:pPr>
            <w:r>
              <w:rPr>
                <w:b/>
                <w:sz w:val="20"/>
              </w:rPr>
              <w:t>(18,972</w:t>
            </w:r>
          </w:p>
        </w:tc>
        <w:tc>
          <w:tcPr>
            <w:tcW w:w="80" w:type="dxa"/>
            <w:tcBorders/>
            <w:shd w:fill="CCEEFF" w:val="clear"/>
            <w:tcMar>
              <w:bottom w:w="0" w:type="dxa"/>
            </w:tcMar>
            <w:vAlign w:val="bottom"/>
          </w:tcPr>
          <w:p>
            <w:pPr>
              <w:pStyle w:val="TableContents"/>
              <w:bidi w:val="0"/>
              <w:spacing w:before="0" w:after="0"/>
              <w:jc w:val="left"/>
              <w:rPr>
                <w:b/>
                <w:sz w:val="20"/>
              </w:rPr>
            </w:pPr>
            <w:r>
              <w:rPr>
                <w:b/>
                <w:sz w:val="20"/>
              </w:rPr>
              <w:t>)</w:t>
            </w:r>
          </w:p>
        </w:tc>
      </w:tr>
      <w:tr>
        <w:trPr/>
        <w:tc>
          <w:tcPr>
            <w:tcW w:w="6455" w:type="dxa"/>
            <w:tcBorders/>
            <w:tcMar>
              <w:bottom w:w="0" w:type="dxa"/>
            </w:tcMar>
            <w:vAlign w:val="bottom"/>
          </w:tcPr>
          <w:p>
            <w:pPr>
              <w:pStyle w:val="TableContents"/>
              <w:bidi w:val="0"/>
              <w:spacing w:before="0" w:after="0"/>
              <w:jc w:val="left"/>
              <w:rPr>
                <w:b/>
                <w:sz w:val="20"/>
              </w:rPr>
            </w:pPr>
            <w:r>
              <w:rPr>
                <w:b/>
                <w:sz w:val="20"/>
              </w:rPr>
              <w:t>Other income, net:</w:t>
            </w:r>
          </w:p>
        </w:tc>
        <w:tc>
          <w:tcPr>
            <w:tcW w:w="60" w:type="dxa"/>
            <w:tcBorders/>
            <w:tcMar>
              <w:bottom w:w="0" w:type="dxa"/>
            </w:tcMar>
            <w:vAlign w:val="bottom"/>
          </w:tcPr>
          <w:p>
            <w:pPr>
              <w:pStyle w:val="TableContents"/>
              <w:bidi w:val="0"/>
              <w:spacing w:before="0" w:after="283"/>
              <w:jc w:val="left"/>
              <w:rPr/>
            </w:pPr>
            <w:r>
              <w:rPr/>
              <w:t> </w:t>
            </w:r>
          </w:p>
        </w:tc>
        <w:tc>
          <w:tcPr>
            <w:tcW w:w="234" w:type="dxa"/>
            <w:tcBorders/>
            <w:tcMar>
              <w:bottom w:w="0" w:type="dxa"/>
            </w:tcMar>
            <w:vAlign w:val="bottom"/>
          </w:tcPr>
          <w:p>
            <w:pPr>
              <w:pStyle w:val="TableContents"/>
              <w:bidi w:val="0"/>
              <w:spacing w:before="0" w:after="283"/>
              <w:jc w:val="left"/>
              <w:rPr/>
            </w:pPr>
            <w:r>
              <w:rPr/>
              <w:t> </w:t>
            </w:r>
          </w:p>
        </w:tc>
        <w:tc>
          <w:tcPr>
            <w:tcW w:w="1781"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6" w:type="dxa"/>
            <w:tcBorders/>
            <w:tcMar>
              <w:bottom w:w="0" w:type="dxa"/>
            </w:tcMar>
            <w:vAlign w:val="bottom"/>
          </w:tcPr>
          <w:p>
            <w:pPr>
              <w:pStyle w:val="TableContents"/>
              <w:bidi w:val="0"/>
              <w:spacing w:before="0" w:after="283"/>
              <w:jc w:val="left"/>
              <w:rPr/>
            </w:pPr>
            <w:r>
              <w:rPr/>
              <w:t> </w:t>
            </w:r>
          </w:p>
        </w:tc>
        <w:tc>
          <w:tcPr>
            <w:tcW w:w="959"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1" w:type="dxa"/>
            <w:tcBorders/>
            <w:tcMar>
              <w:bottom w:w="0" w:type="dxa"/>
            </w:tcMar>
            <w:vAlign w:val="bottom"/>
          </w:tcPr>
          <w:p>
            <w:pPr>
              <w:pStyle w:val="TableContents"/>
              <w:bidi w:val="0"/>
              <w:spacing w:before="0" w:after="283"/>
              <w:jc w:val="left"/>
              <w:rPr/>
            </w:pPr>
            <w:r>
              <w:rPr/>
              <w:t> </w:t>
            </w:r>
          </w:p>
        </w:tc>
        <w:tc>
          <w:tcPr>
            <w:tcW w:w="1639"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26" w:type="dxa"/>
            <w:tcBorders/>
            <w:tcMar>
              <w:bottom w:w="0" w:type="dxa"/>
            </w:tcMar>
            <w:vAlign w:val="bottom"/>
          </w:tcPr>
          <w:p>
            <w:pPr>
              <w:pStyle w:val="TableContents"/>
              <w:bidi w:val="0"/>
              <w:spacing w:before="0" w:after="283"/>
              <w:jc w:val="left"/>
              <w:rPr/>
            </w:pPr>
            <w:r>
              <w:rPr/>
              <w:t> </w:t>
            </w:r>
          </w:p>
        </w:tc>
        <w:tc>
          <w:tcPr>
            <w:tcW w:w="1834"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r>
      <w:tr>
        <w:trPr/>
        <w:tc>
          <w:tcPr>
            <w:tcW w:w="6455" w:type="dxa"/>
            <w:tcBorders/>
            <w:shd w:fill="CCEEFF" w:val="clear"/>
            <w:tcMar>
              <w:bottom w:w="0" w:type="dxa"/>
            </w:tcMar>
            <w:vAlign w:val="bottom"/>
          </w:tcPr>
          <w:p>
            <w:pPr>
              <w:pStyle w:val="TableContents"/>
              <w:bidi w:val="0"/>
              <w:spacing w:before="0" w:after="0"/>
              <w:jc w:val="left"/>
              <w:rPr>
                <w:sz w:val="20"/>
              </w:rPr>
            </w:pPr>
            <w:r>
              <w:rPr>
                <w:sz w:val="20"/>
              </w:rPr>
              <w:t>Change in fair value of warrant liability</w:t>
            </w:r>
          </w:p>
        </w:tc>
        <w:tc>
          <w:tcPr>
            <w:tcW w:w="60" w:type="dxa"/>
            <w:tcBorders/>
            <w:shd w:fill="CCEEFF" w:val="clear"/>
            <w:tcMar>
              <w:bottom w:w="0" w:type="dxa"/>
            </w:tcMar>
            <w:vAlign w:val="bottom"/>
          </w:tcPr>
          <w:p>
            <w:pPr>
              <w:pStyle w:val="TableContents"/>
              <w:bidi w:val="0"/>
              <w:spacing w:before="0" w:after="283"/>
              <w:jc w:val="left"/>
              <w:rPr/>
            </w:pPr>
            <w:r>
              <w:rPr/>
              <w:t> </w:t>
            </w:r>
          </w:p>
        </w:tc>
        <w:tc>
          <w:tcPr>
            <w:tcW w:w="234" w:type="dxa"/>
            <w:tcBorders/>
            <w:shd w:fill="CCEEFF" w:val="clear"/>
            <w:tcMar>
              <w:bottom w:w="0" w:type="dxa"/>
            </w:tcMar>
            <w:vAlign w:val="bottom"/>
          </w:tcPr>
          <w:p>
            <w:pPr>
              <w:pStyle w:val="TableContents"/>
              <w:bidi w:val="0"/>
              <w:spacing w:before="0" w:after="283"/>
              <w:jc w:val="left"/>
              <w:rPr/>
            </w:pPr>
            <w:r>
              <w:rPr/>
              <w:t> </w:t>
            </w:r>
          </w:p>
        </w:tc>
        <w:tc>
          <w:tcPr>
            <w:tcW w:w="1781" w:type="dxa"/>
            <w:tcBorders/>
            <w:shd w:fill="CCEEFF" w:val="clear"/>
            <w:tcMar>
              <w:bottom w:w="0" w:type="dxa"/>
            </w:tcMar>
            <w:vAlign w:val="bottom"/>
          </w:tcPr>
          <w:p>
            <w:pPr>
              <w:pStyle w:val="TableContents"/>
              <w:bidi w:val="0"/>
              <w:spacing w:before="0" w:after="0"/>
              <w:jc w:val="right"/>
              <w:rPr>
                <w:sz w:val="20"/>
              </w:rPr>
            </w:pPr>
            <w:r>
              <w:rPr>
                <w:sz w:val="20"/>
              </w:rPr>
              <w:t>89</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6" w:type="dxa"/>
            <w:tcBorders/>
            <w:shd w:fill="CCEEFF" w:val="clear"/>
            <w:tcMar>
              <w:bottom w:w="0" w:type="dxa"/>
            </w:tcMar>
            <w:vAlign w:val="bottom"/>
          </w:tcPr>
          <w:p>
            <w:pPr>
              <w:pStyle w:val="TableContents"/>
              <w:bidi w:val="0"/>
              <w:spacing w:before="0" w:after="283"/>
              <w:jc w:val="left"/>
              <w:rPr/>
            </w:pPr>
            <w:r>
              <w:rPr/>
              <w:t> </w:t>
            </w:r>
          </w:p>
        </w:tc>
        <w:tc>
          <w:tcPr>
            <w:tcW w:w="959" w:type="dxa"/>
            <w:tcBorders/>
            <w:shd w:fill="CCEEFF" w:val="clear"/>
            <w:tcMar>
              <w:bottom w:w="0" w:type="dxa"/>
            </w:tcMar>
            <w:vAlign w:val="bottom"/>
          </w:tcPr>
          <w:p>
            <w:pPr>
              <w:pStyle w:val="TableContents"/>
              <w:bidi w:val="0"/>
              <w:spacing w:before="0" w:after="0"/>
              <w:jc w:val="right"/>
              <w:rPr>
                <w:sz w:val="20"/>
              </w:rPr>
            </w:pPr>
            <w:r>
              <w:rPr>
                <w:sz w:val="20"/>
              </w:rPr>
              <w:t>-</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1639" w:type="dxa"/>
            <w:tcBorders/>
            <w:shd w:fill="CCEEFF" w:val="clear"/>
            <w:tcMar>
              <w:bottom w:w="0" w:type="dxa"/>
            </w:tcMar>
            <w:vAlign w:val="bottom"/>
          </w:tcPr>
          <w:p>
            <w:pPr>
              <w:pStyle w:val="TableContents"/>
              <w:bidi w:val="0"/>
              <w:spacing w:before="0" w:after="0"/>
              <w:jc w:val="right"/>
              <w:rPr>
                <w:sz w:val="20"/>
              </w:rPr>
            </w:pPr>
            <w:r>
              <w:rPr>
                <w:sz w:val="20"/>
              </w:rPr>
              <w:t>89</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0"/>
              <w:jc w:val="right"/>
              <w:rPr>
                <w:sz w:val="20"/>
              </w:rPr>
            </w:pPr>
            <w:r>
              <w:rPr>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sz w:val="20"/>
              </w:rPr>
            </w:pPr>
            <w:r>
              <w:rPr>
                <w:sz w:val="20"/>
              </w:rPr>
              <w:t>89</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6455" w:type="dxa"/>
            <w:tcBorders>
              <w:bottom w:val="single" w:sz="12" w:space="0" w:color="000000"/>
            </w:tcBorders>
            <w:vAlign w:val="bottom"/>
          </w:tcPr>
          <w:p>
            <w:pPr>
              <w:pStyle w:val="TableContents"/>
              <w:bidi w:val="0"/>
              <w:spacing w:before="0" w:after="0"/>
              <w:jc w:val="left"/>
              <w:rPr>
                <w:sz w:val="20"/>
              </w:rPr>
            </w:pPr>
            <w:r>
              <w:rPr>
                <w:sz w:val="20"/>
              </w:rPr>
              <w:t>Other income, net</w:t>
            </w:r>
          </w:p>
        </w:tc>
        <w:tc>
          <w:tcPr>
            <w:tcW w:w="60" w:type="dxa"/>
            <w:tcBorders>
              <w:bottom w:val="single" w:sz="12" w:space="0" w:color="000000"/>
            </w:tcBorders>
            <w:vAlign w:val="bottom"/>
          </w:tcPr>
          <w:p>
            <w:pPr>
              <w:pStyle w:val="TableContents"/>
              <w:bidi w:val="0"/>
              <w:spacing w:before="0" w:after="283"/>
              <w:jc w:val="left"/>
              <w:rPr/>
            </w:pPr>
            <w:r>
              <w:rPr/>
              <w:t> </w:t>
            </w:r>
          </w:p>
        </w:tc>
        <w:tc>
          <w:tcPr>
            <w:tcW w:w="234" w:type="dxa"/>
            <w:tcBorders>
              <w:bottom w:val="single" w:sz="12" w:space="0" w:color="000000"/>
            </w:tcBorders>
            <w:vAlign w:val="bottom"/>
          </w:tcPr>
          <w:p>
            <w:pPr>
              <w:pStyle w:val="TableContents"/>
              <w:bidi w:val="0"/>
              <w:spacing w:before="0" w:after="283"/>
              <w:jc w:val="left"/>
              <w:rPr/>
            </w:pPr>
            <w:r>
              <w:rPr/>
              <w:t> </w:t>
            </w:r>
          </w:p>
        </w:tc>
        <w:tc>
          <w:tcPr>
            <w:tcW w:w="1781" w:type="dxa"/>
            <w:tcBorders>
              <w:bottom w:val="single" w:sz="12" w:space="0" w:color="000000"/>
            </w:tcBorders>
            <w:vAlign w:val="bottom"/>
          </w:tcPr>
          <w:p>
            <w:pPr>
              <w:pStyle w:val="TableContents"/>
              <w:bidi w:val="0"/>
              <w:spacing w:before="0" w:after="0"/>
              <w:jc w:val="right"/>
              <w:rPr>
                <w:sz w:val="20"/>
              </w:rPr>
            </w:pPr>
            <w:r>
              <w:rPr>
                <w:sz w:val="20"/>
              </w:rPr>
              <w:t>29</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26" w:type="dxa"/>
            <w:tcBorders>
              <w:bottom w:val="single" w:sz="12" w:space="0" w:color="000000"/>
            </w:tcBorders>
            <w:vAlign w:val="bottom"/>
          </w:tcPr>
          <w:p>
            <w:pPr>
              <w:pStyle w:val="TableContents"/>
              <w:bidi w:val="0"/>
              <w:spacing w:before="0" w:after="283"/>
              <w:jc w:val="left"/>
              <w:rPr/>
            </w:pPr>
            <w:r>
              <w:rPr/>
              <w:t> </w:t>
            </w:r>
          </w:p>
        </w:tc>
        <w:tc>
          <w:tcPr>
            <w:tcW w:w="959" w:type="dxa"/>
            <w:tcBorders>
              <w:bottom w:val="single" w:sz="12" w:space="0" w:color="000000"/>
            </w:tcBorders>
            <w:vAlign w:val="bottom"/>
          </w:tcPr>
          <w:p>
            <w:pPr>
              <w:pStyle w:val="TableContents"/>
              <w:bidi w:val="0"/>
              <w:spacing w:before="0" w:after="0"/>
              <w:jc w:val="right"/>
              <w:rPr>
                <w:sz w:val="20"/>
              </w:rPr>
            </w:pPr>
            <w:r>
              <w:rPr>
                <w:sz w:val="20"/>
              </w:rPr>
              <w:t>827</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51" w:type="dxa"/>
            <w:tcBorders>
              <w:bottom w:val="single" w:sz="12" w:space="0" w:color="000000"/>
            </w:tcBorders>
            <w:vAlign w:val="bottom"/>
          </w:tcPr>
          <w:p>
            <w:pPr>
              <w:pStyle w:val="TableContents"/>
              <w:bidi w:val="0"/>
              <w:spacing w:before="0" w:after="283"/>
              <w:jc w:val="left"/>
              <w:rPr/>
            </w:pPr>
            <w:r>
              <w:rPr/>
              <w:t> </w:t>
            </w:r>
          </w:p>
        </w:tc>
        <w:tc>
          <w:tcPr>
            <w:tcW w:w="1639" w:type="dxa"/>
            <w:tcBorders>
              <w:bottom w:val="single" w:sz="12" w:space="0" w:color="000000"/>
            </w:tcBorders>
            <w:vAlign w:val="bottom"/>
          </w:tcPr>
          <w:p>
            <w:pPr>
              <w:pStyle w:val="TableContents"/>
              <w:bidi w:val="0"/>
              <w:spacing w:before="0" w:after="0"/>
              <w:jc w:val="right"/>
              <w:rPr>
                <w:sz w:val="20"/>
              </w:rPr>
            </w:pPr>
            <w:r>
              <w:rPr>
                <w:sz w:val="20"/>
              </w:rPr>
              <w:t>856</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26" w:type="dxa"/>
            <w:tcBorders>
              <w:bottom w:val="single" w:sz="12" w:space="0" w:color="000000"/>
            </w:tcBorders>
            <w:vAlign w:val="bottom"/>
          </w:tcPr>
          <w:p>
            <w:pPr>
              <w:pStyle w:val="TableContents"/>
              <w:bidi w:val="0"/>
              <w:spacing w:before="0" w:after="283"/>
              <w:jc w:val="left"/>
              <w:rPr/>
            </w:pPr>
            <w:r>
              <w:rPr/>
              <w:t> </w:t>
            </w:r>
          </w:p>
        </w:tc>
        <w:tc>
          <w:tcPr>
            <w:tcW w:w="1834" w:type="dxa"/>
            <w:tcBorders>
              <w:bottom w:val="single" w:sz="12" w:space="0" w:color="000000"/>
            </w:tcBorders>
            <w:vAlign w:val="bottom"/>
          </w:tcPr>
          <w:p>
            <w:pPr>
              <w:pStyle w:val="TableContents"/>
              <w:bidi w:val="0"/>
              <w:spacing w:before="0" w:after="0"/>
              <w:jc w:val="right"/>
              <w:rPr>
                <w:sz w:val="20"/>
              </w:rPr>
            </w:pPr>
            <w:r>
              <w:rPr>
                <w:sz w:val="2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1055" w:type="dxa"/>
            <w:tcBorders>
              <w:bottom w:val="single" w:sz="12" w:space="0" w:color="000000"/>
            </w:tcBorders>
            <w:vAlign w:val="bottom"/>
          </w:tcPr>
          <w:p>
            <w:pPr>
              <w:pStyle w:val="TableContents"/>
              <w:bidi w:val="0"/>
              <w:spacing w:before="0" w:after="0"/>
              <w:jc w:val="right"/>
              <w:rPr>
                <w:sz w:val="20"/>
              </w:rPr>
            </w:pPr>
            <w:r>
              <w:rPr>
                <w:sz w:val="20"/>
              </w:rPr>
              <w:t>856</w:t>
            </w:r>
          </w:p>
        </w:tc>
        <w:tc>
          <w:tcPr>
            <w:tcW w:w="80" w:type="dxa"/>
            <w:tcBorders/>
            <w:tcMar>
              <w:bottom w:w="0" w:type="dxa"/>
            </w:tcMar>
            <w:vAlign w:val="bottom"/>
          </w:tcPr>
          <w:p>
            <w:pPr>
              <w:pStyle w:val="TableContents"/>
              <w:bidi w:val="0"/>
              <w:spacing w:before="0" w:after="283"/>
              <w:jc w:val="left"/>
              <w:rPr/>
            </w:pPr>
            <w:r>
              <w:rPr/>
              <w:t> </w:t>
            </w:r>
          </w:p>
        </w:tc>
      </w:tr>
      <w:tr>
        <w:trPr/>
        <w:tc>
          <w:tcPr>
            <w:tcW w:w="6455" w:type="dxa"/>
            <w:tcBorders/>
            <w:shd w:fill="CCEEFF" w:val="clear"/>
            <w:tcMar>
              <w:bottom w:w="0" w:type="dxa"/>
            </w:tcMar>
            <w:vAlign w:val="bottom"/>
          </w:tcPr>
          <w:p>
            <w:pPr>
              <w:pStyle w:val="TableContents"/>
              <w:bidi w:val="0"/>
              <w:spacing w:before="0" w:after="0"/>
              <w:jc w:val="left"/>
              <w:rPr>
                <w:b/>
                <w:sz w:val="20"/>
              </w:rPr>
            </w:pPr>
            <w:r>
              <w:rPr>
                <w:b/>
                <w:sz w:val="20"/>
              </w:rPr>
              <w:t>Loss before income taxes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34" w:type="dxa"/>
            <w:tcBorders/>
            <w:shd w:fill="CCEEFF" w:val="clear"/>
            <w:tcMar>
              <w:bottom w:w="0" w:type="dxa"/>
            </w:tcMar>
            <w:vAlign w:val="bottom"/>
          </w:tcPr>
          <w:p>
            <w:pPr>
              <w:pStyle w:val="TableContents"/>
              <w:bidi w:val="0"/>
              <w:spacing w:before="0" w:after="283"/>
              <w:jc w:val="left"/>
              <w:rPr/>
            </w:pPr>
            <w:r>
              <w:rPr/>
              <w:t> </w:t>
            </w:r>
          </w:p>
        </w:tc>
        <w:tc>
          <w:tcPr>
            <w:tcW w:w="1781" w:type="dxa"/>
            <w:tcBorders/>
            <w:shd w:fill="CCEEFF" w:val="clear"/>
            <w:tcMar>
              <w:bottom w:w="0" w:type="dxa"/>
            </w:tcMar>
            <w:vAlign w:val="bottom"/>
          </w:tcPr>
          <w:p>
            <w:pPr>
              <w:pStyle w:val="TableContents"/>
              <w:bidi w:val="0"/>
              <w:spacing w:before="0" w:after="0"/>
              <w:jc w:val="right"/>
              <w:rPr>
                <w:b/>
                <w:sz w:val="20"/>
              </w:rPr>
            </w:pPr>
            <w:r>
              <w:rPr>
                <w:b/>
                <w:sz w:val="20"/>
              </w:rPr>
              <w:t>(9,237</w:t>
            </w:r>
          </w:p>
        </w:tc>
        <w:tc>
          <w:tcPr>
            <w:tcW w:w="80" w:type="dxa"/>
            <w:tcBorders/>
            <w:shd w:fill="CCEEFF" w:val="clear"/>
            <w:tcMar>
              <w:bottom w:w="0" w:type="dxa"/>
            </w:tcMar>
            <w:vAlign w:val="bottom"/>
          </w:tcPr>
          <w:p>
            <w:pPr>
              <w:pStyle w:val="TableContents"/>
              <w:bidi w:val="0"/>
              <w:spacing w:before="0" w:after="0"/>
              <w:jc w:val="left"/>
              <w:rPr>
                <w:b/>
                <w:sz w:val="20"/>
              </w:rPr>
            </w:pPr>
            <w:r>
              <w:rPr>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6" w:type="dxa"/>
            <w:tcBorders/>
            <w:shd w:fill="CCEEFF" w:val="clear"/>
            <w:tcMar>
              <w:bottom w:w="0" w:type="dxa"/>
            </w:tcMar>
            <w:vAlign w:val="bottom"/>
          </w:tcPr>
          <w:p>
            <w:pPr>
              <w:pStyle w:val="TableContents"/>
              <w:bidi w:val="0"/>
              <w:spacing w:before="0" w:after="283"/>
              <w:jc w:val="left"/>
              <w:rPr/>
            </w:pPr>
            <w:r>
              <w:rPr/>
              <w:t> </w:t>
            </w:r>
          </w:p>
        </w:tc>
        <w:tc>
          <w:tcPr>
            <w:tcW w:w="959" w:type="dxa"/>
            <w:tcBorders/>
            <w:shd w:fill="CCEEFF" w:val="clear"/>
            <w:tcMar>
              <w:bottom w:w="0" w:type="dxa"/>
            </w:tcMar>
            <w:vAlign w:val="bottom"/>
          </w:tcPr>
          <w:p>
            <w:pPr>
              <w:pStyle w:val="TableContents"/>
              <w:bidi w:val="0"/>
              <w:spacing w:before="0" w:after="0"/>
              <w:jc w:val="right"/>
              <w:rPr>
                <w:b/>
                <w:sz w:val="20"/>
              </w:rPr>
            </w:pPr>
            <w:r>
              <w:rPr>
                <w:b/>
                <w:sz w:val="20"/>
              </w:rPr>
              <w:t>(8,790</w:t>
            </w:r>
          </w:p>
        </w:tc>
        <w:tc>
          <w:tcPr>
            <w:tcW w:w="80" w:type="dxa"/>
            <w:tcBorders/>
            <w:shd w:fill="CCEEFF" w:val="clear"/>
            <w:tcMar>
              <w:bottom w:w="0" w:type="dxa"/>
            </w:tcMar>
            <w:vAlign w:val="bottom"/>
          </w:tcPr>
          <w:p>
            <w:pPr>
              <w:pStyle w:val="TableContents"/>
              <w:bidi w:val="0"/>
              <w:spacing w:before="0" w:after="0"/>
              <w:jc w:val="left"/>
              <w:rPr>
                <w:b/>
                <w:sz w:val="20"/>
              </w:rPr>
            </w:pPr>
            <w:r>
              <w:rPr>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1639" w:type="dxa"/>
            <w:tcBorders/>
            <w:shd w:fill="CCEEFF" w:val="clear"/>
            <w:tcMar>
              <w:bottom w:w="0" w:type="dxa"/>
            </w:tcMar>
            <w:vAlign w:val="bottom"/>
          </w:tcPr>
          <w:p>
            <w:pPr>
              <w:pStyle w:val="TableContents"/>
              <w:bidi w:val="0"/>
              <w:spacing w:before="0" w:after="0"/>
              <w:jc w:val="right"/>
              <w:rPr>
                <w:b/>
                <w:sz w:val="20"/>
              </w:rPr>
            </w:pPr>
            <w:r>
              <w:rPr>
                <w:b/>
                <w:sz w:val="20"/>
              </w:rPr>
              <w:t>(18,027</w:t>
            </w:r>
          </w:p>
        </w:tc>
        <w:tc>
          <w:tcPr>
            <w:tcW w:w="80" w:type="dxa"/>
            <w:tcBorders/>
            <w:shd w:fill="CCEEFF" w:val="clear"/>
            <w:tcMar>
              <w:bottom w:w="0" w:type="dxa"/>
            </w:tcMar>
            <w:vAlign w:val="bottom"/>
          </w:tcPr>
          <w:p>
            <w:pPr>
              <w:pStyle w:val="TableContents"/>
              <w:bidi w:val="0"/>
              <w:spacing w:before="0" w:after="0"/>
              <w:jc w:val="left"/>
              <w:rPr>
                <w:b/>
                <w:sz w:val="20"/>
              </w:rPr>
            </w:pPr>
            <w:r>
              <w:rPr>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0"/>
              <w:jc w:val="right"/>
              <w:rPr>
                <w:b/>
                <w:sz w:val="20"/>
              </w:rPr>
            </w:pPr>
            <w:r>
              <w:rPr>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b/>
                <w:sz w:val="20"/>
              </w:rPr>
            </w:pPr>
            <w:r>
              <w:rPr>
                <w:b/>
                <w:sz w:val="20"/>
              </w:rPr>
              <w:t>(18,027</w:t>
            </w:r>
          </w:p>
        </w:tc>
        <w:tc>
          <w:tcPr>
            <w:tcW w:w="80" w:type="dxa"/>
            <w:tcBorders/>
            <w:shd w:fill="CCEEFF" w:val="clear"/>
            <w:tcMar>
              <w:bottom w:w="0" w:type="dxa"/>
            </w:tcMar>
            <w:vAlign w:val="bottom"/>
          </w:tcPr>
          <w:p>
            <w:pPr>
              <w:pStyle w:val="TableContents"/>
              <w:bidi w:val="0"/>
              <w:spacing w:before="0" w:after="0"/>
              <w:jc w:val="left"/>
              <w:rPr>
                <w:b/>
                <w:sz w:val="20"/>
              </w:rPr>
            </w:pPr>
            <w:r>
              <w:rPr>
                <w:b/>
                <w:sz w:val="20"/>
              </w:rPr>
              <w:t>)</w:t>
            </w:r>
          </w:p>
        </w:tc>
      </w:tr>
      <w:tr>
        <w:trPr/>
        <w:tc>
          <w:tcPr>
            <w:tcW w:w="6455" w:type="dxa"/>
            <w:tcBorders>
              <w:bottom w:val="single" w:sz="12" w:space="0" w:color="000000"/>
            </w:tcBorders>
            <w:vAlign w:val="bottom"/>
          </w:tcPr>
          <w:p>
            <w:pPr>
              <w:pStyle w:val="TableContents"/>
              <w:bidi w:val="0"/>
              <w:spacing w:before="0" w:after="0"/>
              <w:jc w:val="left"/>
              <w:rPr>
                <w:sz w:val="20"/>
              </w:rPr>
            </w:pPr>
            <w:r>
              <w:rPr>
                <w:sz w:val="20"/>
              </w:rPr>
              <w:t>Provision for income taxes</w:t>
            </w:r>
          </w:p>
        </w:tc>
        <w:tc>
          <w:tcPr>
            <w:tcW w:w="60" w:type="dxa"/>
            <w:tcBorders>
              <w:bottom w:val="single" w:sz="12" w:space="0" w:color="000000"/>
            </w:tcBorders>
            <w:vAlign w:val="bottom"/>
          </w:tcPr>
          <w:p>
            <w:pPr>
              <w:pStyle w:val="TableContents"/>
              <w:bidi w:val="0"/>
              <w:spacing w:before="0" w:after="283"/>
              <w:jc w:val="left"/>
              <w:rPr/>
            </w:pPr>
            <w:r>
              <w:rPr/>
              <w:t> </w:t>
            </w:r>
          </w:p>
        </w:tc>
        <w:tc>
          <w:tcPr>
            <w:tcW w:w="234" w:type="dxa"/>
            <w:tcBorders>
              <w:bottom w:val="single" w:sz="12" w:space="0" w:color="000000"/>
            </w:tcBorders>
            <w:vAlign w:val="bottom"/>
          </w:tcPr>
          <w:p>
            <w:pPr>
              <w:pStyle w:val="TableContents"/>
              <w:bidi w:val="0"/>
              <w:spacing w:before="0" w:after="283"/>
              <w:jc w:val="left"/>
              <w:rPr/>
            </w:pPr>
            <w:r>
              <w:rPr/>
              <w:t> </w:t>
            </w:r>
          </w:p>
        </w:tc>
        <w:tc>
          <w:tcPr>
            <w:tcW w:w="1781" w:type="dxa"/>
            <w:tcBorders>
              <w:bottom w:val="single" w:sz="12" w:space="0" w:color="000000"/>
            </w:tcBorders>
            <w:vAlign w:val="bottom"/>
          </w:tcPr>
          <w:p>
            <w:pPr>
              <w:pStyle w:val="TableContents"/>
              <w:bidi w:val="0"/>
              <w:spacing w:before="0" w:after="0"/>
              <w:jc w:val="right"/>
              <w:rPr>
                <w:sz w:val="20"/>
              </w:rPr>
            </w:pPr>
            <w:r>
              <w:rPr>
                <w:sz w:val="20"/>
              </w:rPr>
              <w:t>(621</w:t>
            </w:r>
          </w:p>
        </w:tc>
        <w:tc>
          <w:tcPr>
            <w:tcW w:w="80" w:type="dxa"/>
            <w:tcBorders>
              <w:bottom w:val="single" w:sz="12" w:space="0" w:color="000000"/>
            </w:tcBorders>
            <w:vAlign w:val="bottom"/>
          </w:tcPr>
          <w:p>
            <w:pPr>
              <w:pStyle w:val="TableContents"/>
              <w:bidi w:val="0"/>
              <w:spacing w:before="0" w:after="0"/>
              <w:jc w:val="left"/>
              <w:rPr>
                <w:sz w:val="20"/>
              </w:rPr>
            </w:pPr>
            <w:r>
              <w:rPr>
                <w:sz w:val="2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126" w:type="dxa"/>
            <w:tcBorders>
              <w:bottom w:val="single" w:sz="12" w:space="0" w:color="000000"/>
            </w:tcBorders>
            <w:vAlign w:val="bottom"/>
          </w:tcPr>
          <w:p>
            <w:pPr>
              <w:pStyle w:val="TableContents"/>
              <w:bidi w:val="0"/>
              <w:spacing w:before="0" w:after="283"/>
              <w:jc w:val="left"/>
              <w:rPr/>
            </w:pPr>
            <w:r>
              <w:rPr/>
              <w:t> </w:t>
            </w:r>
          </w:p>
        </w:tc>
        <w:tc>
          <w:tcPr>
            <w:tcW w:w="959" w:type="dxa"/>
            <w:tcBorders>
              <w:bottom w:val="single" w:sz="12" w:space="0" w:color="000000"/>
            </w:tcBorders>
            <w:vAlign w:val="bottom"/>
          </w:tcPr>
          <w:p>
            <w:pPr>
              <w:pStyle w:val="TableContents"/>
              <w:bidi w:val="0"/>
              <w:spacing w:before="0" w:after="0"/>
              <w:jc w:val="right"/>
              <w:rPr>
                <w:sz w:val="20"/>
              </w:rPr>
            </w:pPr>
            <w:r>
              <w:rPr>
                <w:sz w:val="20"/>
              </w:rPr>
              <w:t>71</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51" w:type="dxa"/>
            <w:tcBorders>
              <w:bottom w:val="single" w:sz="12" w:space="0" w:color="000000"/>
            </w:tcBorders>
            <w:vAlign w:val="bottom"/>
          </w:tcPr>
          <w:p>
            <w:pPr>
              <w:pStyle w:val="TableContents"/>
              <w:bidi w:val="0"/>
              <w:spacing w:before="0" w:after="283"/>
              <w:jc w:val="left"/>
              <w:rPr/>
            </w:pPr>
            <w:r>
              <w:rPr/>
              <w:t> </w:t>
            </w:r>
          </w:p>
        </w:tc>
        <w:tc>
          <w:tcPr>
            <w:tcW w:w="1639" w:type="dxa"/>
            <w:tcBorders>
              <w:bottom w:val="single" w:sz="12" w:space="0" w:color="000000"/>
            </w:tcBorders>
            <w:vAlign w:val="bottom"/>
          </w:tcPr>
          <w:p>
            <w:pPr>
              <w:pStyle w:val="TableContents"/>
              <w:bidi w:val="0"/>
              <w:spacing w:before="0" w:after="0"/>
              <w:jc w:val="right"/>
              <w:rPr>
                <w:sz w:val="20"/>
              </w:rPr>
            </w:pPr>
            <w:r>
              <w:rPr>
                <w:sz w:val="20"/>
              </w:rPr>
              <w:t>(550</w:t>
            </w:r>
          </w:p>
        </w:tc>
        <w:tc>
          <w:tcPr>
            <w:tcW w:w="80" w:type="dxa"/>
            <w:tcBorders>
              <w:bottom w:val="single" w:sz="12" w:space="0" w:color="000000"/>
            </w:tcBorders>
            <w:vAlign w:val="bottom"/>
          </w:tcPr>
          <w:p>
            <w:pPr>
              <w:pStyle w:val="TableContents"/>
              <w:bidi w:val="0"/>
              <w:spacing w:before="0" w:after="0"/>
              <w:jc w:val="left"/>
              <w:rPr>
                <w:sz w:val="20"/>
              </w:rPr>
            </w:pPr>
            <w:r>
              <w:rPr>
                <w:sz w:val="2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226" w:type="dxa"/>
            <w:tcBorders>
              <w:bottom w:val="single" w:sz="12" w:space="0" w:color="000000"/>
            </w:tcBorders>
            <w:vAlign w:val="bottom"/>
          </w:tcPr>
          <w:p>
            <w:pPr>
              <w:pStyle w:val="TableContents"/>
              <w:bidi w:val="0"/>
              <w:spacing w:before="0" w:after="283"/>
              <w:jc w:val="left"/>
              <w:rPr/>
            </w:pPr>
            <w:r>
              <w:rPr/>
              <w:t> </w:t>
            </w:r>
          </w:p>
        </w:tc>
        <w:tc>
          <w:tcPr>
            <w:tcW w:w="1834" w:type="dxa"/>
            <w:tcBorders>
              <w:bottom w:val="single" w:sz="12" w:space="0" w:color="000000"/>
            </w:tcBorders>
            <w:vAlign w:val="bottom"/>
          </w:tcPr>
          <w:p>
            <w:pPr>
              <w:pStyle w:val="TableContents"/>
              <w:bidi w:val="0"/>
              <w:spacing w:before="0" w:after="0"/>
              <w:jc w:val="right"/>
              <w:rPr>
                <w:sz w:val="20"/>
              </w:rPr>
            </w:pPr>
            <w:r>
              <w:rPr>
                <w:sz w:val="2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1055" w:type="dxa"/>
            <w:tcBorders>
              <w:bottom w:val="single" w:sz="12" w:space="0" w:color="000000"/>
            </w:tcBorders>
            <w:vAlign w:val="bottom"/>
          </w:tcPr>
          <w:p>
            <w:pPr>
              <w:pStyle w:val="TableContents"/>
              <w:bidi w:val="0"/>
              <w:spacing w:before="0" w:after="0"/>
              <w:jc w:val="right"/>
              <w:rPr>
                <w:sz w:val="20"/>
              </w:rPr>
            </w:pPr>
            <w:r>
              <w:rPr>
                <w:sz w:val="20"/>
              </w:rPr>
              <w:t>(550</w:t>
            </w:r>
          </w:p>
        </w:tc>
        <w:tc>
          <w:tcPr>
            <w:tcW w:w="80" w:type="dxa"/>
            <w:tcBorders/>
            <w:tcMar>
              <w:bottom w:w="0" w:type="dxa"/>
            </w:tcMar>
            <w:vAlign w:val="bottom"/>
          </w:tcPr>
          <w:p>
            <w:pPr>
              <w:pStyle w:val="TableContents"/>
              <w:bidi w:val="0"/>
              <w:spacing w:before="0" w:after="0"/>
              <w:jc w:val="left"/>
              <w:rPr>
                <w:sz w:val="20"/>
              </w:rPr>
            </w:pPr>
            <w:r>
              <w:rPr>
                <w:sz w:val="20"/>
              </w:rPr>
              <w:t>)</w:t>
            </w:r>
          </w:p>
        </w:tc>
      </w:tr>
      <w:tr>
        <w:trPr/>
        <w:tc>
          <w:tcPr>
            <w:tcW w:w="6455" w:type="dxa"/>
            <w:tcBorders>
              <w:bottom w:val="single" w:sz="12" w:space="0" w:color="000000"/>
            </w:tcBorders>
            <w:shd w:fill="CCEEFF" w:val="clear"/>
            <w:vAlign w:val="bottom"/>
          </w:tcPr>
          <w:p>
            <w:pPr>
              <w:pStyle w:val="TableContents"/>
              <w:bidi w:val="0"/>
              <w:spacing w:before="0" w:after="0"/>
              <w:jc w:val="left"/>
              <w:rPr>
                <w:b/>
                <w:sz w:val="20"/>
              </w:rPr>
            </w:pPr>
            <w:r>
              <w:rPr>
                <w:b/>
                <w:sz w:val="20"/>
              </w:rPr>
              <w:t>Net loss</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34" w:type="dxa"/>
            <w:tcBorders>
              <w:bottom w:val="single" w:sz="12" w:space="0" w:color="000000"/>
            </w:tcBorders>
            <w:shd w:fill="CCEEFF" w:val="clear"/>
            <w:vAlign w:val="bottom"/>
          </w:tcPr>
          <w:p>
            <w:pPr>
              <w:pStyle w:val="TableContents"/>
              <w:bidi w:val="0"/>
              <w:spacing w:before="0" w:after="283"/>
              <w:jc w:val="left"/>
              <w:rPr/>
            </w:pPr>
            <w:r>
              <w:rPr/>
              <w:t> </w:t>
            </w:r>
          </w:p>
        </w:tc>
        <w:tc>
          <w:tcPr>
            <w:tcW w:w="1781" w:type="dxa"/>
            <w:tcBorders>
              <w:bottom w:val="single" w:sz="12" w:space="0" w:color="000000"/>
            </w:tcBorders>
            <w:shd w:fill="CCEEFF" w:val="clear"/>
            <w:vAlign w:val="bottom"/>
          </w:tcPr>
          <w:p>
            <w:pPr>
              <w:pStyle w:val="TableContents"/>
              <w:bidi w:val="0"/>
              <w:spacing w:before="0" w:after="0"/>
              <w:jc w:val="right"/>
              <w:rPr>
                <w:b/>
                <w:sz w:val="20"/>
              </w:rPr>
            </w:pPr>
            <w:r>
              <w:rPr>
                <w:b/>
                <w:sz w:val="20"/>
              </w:rPr>
              <w:t>(9,858</w:t>
            </w:r>
          </w:p>
        </w:tc>
        <w:tc>
          <w:tcPr>
            <w:tcW w:w="80" w:type="dxa"/>
            <w:tcBorders>
              <w:bottom w:val="single" w:sz="12" w:space="0" w:color="000000"/>
            </w:tcBorders>
            <w:shd w:fill="CCEEFF" w:val="clear"/>
            <w:vAlign w:val="bottom"/>
          </w:tcPr>
          <w:p>
            <w:pPr>
              <w:pStyle w:val="TableContents"/>
              <w:bidi w:val="0"/>
              <w:spacing w:before="0" w:after="0"/>
              <w:jc w:val="left"/>
              <w:rPr>
                <w:b/>
                <w:sz w:val="20"/>
              </w:rPr>
            </w:pPr>
            <w:r>
              <w:rPr>
                <w:b/>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vAlign w:val="bottom"/>
          </w:tcPr>
          <w:p>
            <w:pPr>
              <w:pStyle w:val="TableContents"/>
              <w:bidi w:val="0"/>
              <w:spacing w:before="0" w:after="283"/>
              <w:jc w:val="left"/>
              <w:rPr/>
            </w:pPr>
            <w:r>
              <w:rPr/>
              <w:t> </w:t>
            </w:r>
          </w:p>
        </w:tc>
        <w:tc>
          <w:tcPr>
            <w:tcW w:w="959" w:type="dxa"/>
            <w:tcBorders>
              <w:bottom w:val="single" w:sz="12" w:space="0" w:color="000000"/>
            </w:tcBorders>
            <w:shd w:fill="CCEEFF" w:val="clear"/>
            <w:vAlign w:val="bottom"/>
          </w:tcPr>
          <w:p>
            <w:pPr>
              <w:pStyle w:val="TableContents"/>
              <w:bidi w:val="0"/>
              <w:spacing w:before="0" w:after="0"/>
              <w:jc w:val="right"/>
              <w:rPr>
                <w:b/>
                <w:sz w:val="20"/>
              </w:rPr>
            </w:pPr>
            <w:r>
              <w:rPr>
                <w:b/>
                <w:sz w:val="20"/>
              </w:rPr>
              <w:t>(8,719</w:t>
            </w:r>
          </w:p>
        </w:tc>
        <w:tc>
          <w:tcPr>
            <w:tcW w:w="80" w:type="dxa"/>
            <w:tcBorders>
              <w:bottom w:val="single" w:sz="12" w:space="0" w:color="000000"/>
            </w:tcBorders>
            <w:shd w:fill="CCEEFF" w:val="clear"/>
            <w:vAlign w:val="bottom"/>
          </w:tcPr>
          <w:p>
            <w:pPr>
              <w:pStyle w:val="TableContents"/>
              <w:bidi w:val="0"/>
              <w:spacing w:before="0" w:after="0"/>
              <w:jc w:val="left"/>
              <w:rPr>
                <w:b/>
                <w:sz w:val="20"/>
              </w:rPr>
            </w:pPr>
            <w:r>
              <w:rPr>
                <w:b/>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vAlign w:val="bottom"/>
          </w:tcPr>
          <w:p>
            <w:pPr>
              <w:pStyle w:val="TableContents"/>
              <w:bidi w:val="0"/>
              <w:spacing w:before="0" w:after="283"/>
              <w:jc w:val="left"/>
              <w:rPr/>
            </w:pPr>
            <w:r>
              <w:rPr/>
              <w:t> </w:t>
            </w:r>
          </w:p>
        </w:tc>
        <w:tc>
          <w:tcPr>
            <w:tcW w:w="1639" w:type="dxa"/>
            <w:tcBorders>
              <w:bottom w:val="single" w:sz="12" w:space="0" w:color="000000"/>
            </w:tcBorders>
            <w:shd w:fill="CCEEFF" w:val="clear"/>
            <w:vAlign w:val="bottom"/>
          </w:tcPr>
          <w:p>
            <w:pPr>
              <w:pStyle w:val="TableContents"/>
              <w:bidi w:val="0"/>
              <w:spacing w:before="0" w:after="0"/>
              <w:jc w:val="right"/>
              <w:rPr>
                <w:b/>
                <w:sz w:val="20"/>
              </w:rPr>
            </w:pPr>
            <w:r>
              <w:rPr>
                <w:b/>
                <w:sz w:val="20"/>
              </w:rPr>
              <w:t>(18,577</w:t>
            </w:r>
          </w:p>
        </w:tc>
        <w:tc>
          <w:tcPr>
            <w:tcW w:w="80" w:type="dxa"/>
            <w:tcBorders>
              <w:bottom w:val="single" w:sz="12" w:space="0" w:color="000000"/>
            </w:tcBorders>
            <w:shd w:fill="CCEEFF" w:val="clear"/>
            <w:vAlign w:val="bottom"/>
          </w:tcPr>
          <w:p>
            <w:pPr>
              <w:pStyle w:val="TableContents"/>
              <w:bidi w:val="0"/>
              <w:spacing w:before="0" w:after="0"/>
              <w:jc w:val="left"/>
              <w:rPr>
                <w:b/>
                <w:sz w:val="20"/>
              </w:rPr>
            </w:pPr>
            <w:r>
              <w:rPr>
                <w:b/>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vAlign w:val="bottom"/>
          </w:tcPr>
          <w:p>
            <w:pPr>
              <w:pStyle w:val="TableContents"/>
              <w:bidi w:val="0"/>
              <w:spacing w:before="0" w:after="283"/>
              <w:jc w:val="left"/>
              <w:rPr/>
            </w:pPr>
            <w:r>
              <w:rPr/>
              <w:t> </w:t>
            </w:r>
          </w:p>
        </w:tc>
        <w:tc>
          <w:tcPr>
            <w:tcW w:w="1834" w:type="dxa"/>
            <w:tcBorders>
              <w:bottom w:val="single" w:sz="12" w:space="0" w:color="000000"/>
            </w:tcBorders>
            <w:shd w:fill="CCEEFF" w:val="clear"/>
            <w:vAlign w:val="bottom"/>
          </w:tcPr>
          <w:p>
            <w:pPr>
              <w:pStyle w:val="TableContents"/>
              <w:bidi w:val="0"/>
              <w:spacing w:before="0" w:after="0"/>
              <w:jc w:val="right"/>
              <w:rPr>
                <w:b/>
                <w:sz w:val="20"/>
              </w:rPr>
            </w:pPr>
            <w:r>
              <w:rPr>
                <w:b/>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1055" w:type="dxa"/>
            <w:tcBorders>
              <w:bottom w:val="single" w:sz="12" w:space="0" w:color="000000"/>
            </w:tcBorders>
            <w:shd w:fill="CCEEFF" w:val="clear"/>
            <w:vAlign w:val="bottom"/>
          </w:tcPr>
          <w:p>
            <w:pPr>
              <w:pStyle w:val="TableContents"/>
              <w:bidi w:val="0"/>
              <w:spacing w:before="0" w:after="0"/>
              <w:jc w:val="right"/>
              <w:rPr>
                <w:b/>
                <w:sz w:val="20"/>
              </w:rPr>
            </w:pPr>
            <w:r>
              <w:rPr>
                <w:b/>
                <w:sz w:val="20"/>
              </w:rPr>
              <w:t>(18,577</w:t>
            </w:r>
          </w:p>
        </w:tc>
        <w:tc>
          <w:tcPr>
            <w:tcW w:w="80" w:type="dxa"/>
            <w:tcBorders/>
            <w:shd w:fill="CCEEFF" w:val="clear"/>
            <w:tcMar>
              <w:bottom w:w="0" w:type="dxa"/>
            </w:tcMar>
            <w:vAlign w:val="bottom"/>
          </w:tcPr>
          <w:p>
            <w:pPr>
              <w:pStyle w:val="TableContents"/>
              <w:bidi w:val="0"/>
              <w:spacing w:before="0" w:after="0"/>
              <w:jc w:val="left"/>
              <w:rPr>
                <w:b/>
                <w:sz w:val="20"/>
              </w:rPr>
            </w:pPr>
            <w:r>
              <w:rPr>
                <w:b/>
                <w:sz w:val="20"/>
              </w:rPr>
              <w:t>)</w:t>
            </w:r>
          </w:p>
        </w:tc>
      </w:tr>
      <w:tr>
        <w:trPr/>
        <w:tc>
          <w:tcPr>
            <w:tcW w:w="6455" w:type="dxa"/>
            <w:tcBorders/>
            <w:tcMar>
              <w:bottom w:w="0" w:type="dxa"/>
            </w:tcMar>
            <w:vAlign w:val="bottom"/>
          </w:tcPr>
          <w:p>
            <w:pPr>
              <w:pStyle w:val="TableContents"/>
              <w:bidi w:val="0"/>
              <w:spacing w:before="0" w:after="0"/>
              <w:jc w:val="left"/>
              <w:rPr>
                <w:b/>
                <w:sz w:val="20"/>
              </w:rPr>
            </w:pPr>
            <w:r>
              <w:rPr>
                <w:b/>
                <w:sz w:val="20"/>
              </w:rPr>
              <w:t>Net loss attributable to non-controlling interest</w:t>
            </w:r>
          </w:p>
        </w:tc>
        <w:tc>
          <w:tcPr>
            <w:tcW w:w="60" w:type="dxa"/>
            <w:tcBorders/>
            <w:tcMar>
              <w:bottom w:w="0" w:type="dxa"/>
            </w:tcMar>
            <w:vAlign w:val="bottom"/>
          </w:tcPr>
          <w:p>
            <w:pPr>
              <w:pStyle w:val="TableContents"/>
              <w:bidi w:val="0"/>
              <w:spacing w:before="0" w:after="283"/>
              <w:jc w:val="left"/>
              <w:rPr/>
            </w:pPr>
            <w:r>
              <w:rPr/>
              <w:t> </w:t>
            </w:r>
          </w:p>
        </w:tc>
        <w:tc>
          <w:tcPr>
            <w:tcW w:w="234" w:type="dxa"/>
            <w:tcBorders/>
            <w:tcMar>
              <w:bottom w:w="0" w:type="dxa"/>
            </w:tcMar>
            <w:vAlign w:val="bottom"/>
          </w:tcPr>
          <w:p>
            <w:pPr>
              <w:pStyle w:val="TableContents"/>
              <w:bidi w:val="0"/>
              <w:spacing w:before="0" w:after="283"/>
              <w:jc w:val="left"/>
              <w:rPr/>
            </w:pPr>
            <w:r>
              <w:rPr/>
              <w:t> </w:t>
            </w:r>
          </w:p>
        </w:tc>
        <w:tc>
          <w:tcPr>
            <w:tcW w:w="1781" w:type="dxa"/>
            <w:tcBorders/>
            <w:tcMar>
              <w:bottom w:w="0" w:type="dxa"/>
            </w:tcMar>
            <w:vAlign w:val="bottom"/>
          </w:tcPr>
          <w:p>
            <w:pPr>
              <w:pStyle w:val="TableContents"/>
              <w:bidi w:val="0"/>
              <w:spacing w:before="0" w:after="0"/>
              <w:jc w:val="right"/>
              <w:rPr>
                <w:b/>
                <w:sz w:val="20"/>
              </w:rPr>
            </w:pPr>
            <w:r>
              <w:rPr>
                <w:b/>
                <w:sz w:val="20"/>
              </w:rPr>
              <w:t>(1,167</w:t>
            </w:r>
          </w:p>
        </w:tc>
        <w:tc>
          <w:tcPr>
            <w:tcW w:w="80" w:type="dxa"/>
            <w:tcBorders/>
            <w:tcMar>
              <w:bottom w:w="0" w:type="dxa"/>
            </w:tcMar>
            <w:vAlign w:val="bottom"/>
          </w:tcPr>
          <w:p>
            <w:pPr>
              <w:pStyle w:val="TableContents"/>
              <w:bidi w:val="0"/>
              <w:spacing w:before="0" w:after="0"/>
              <w:jc w:val="left"/>
              <w:rPr>
                <w:b/>
                <w:sz w:val="20"/>
              </w:rPr>
            </w:pPr>
            <w:r>
              <w:rPr>
                <w:b/>
                <w:sz w:val="20"/>
              </w:rPr>
              <w:t>)</w:t>
            </w:r>
          </w:p>
        </w:tc>
        <w:tc>
          <w:tcPr>
            <w:tcW w:w="60" w:type="dxa"/>
            <w:tcBorders/>
            <w:tcMar>
              <w:bottom w:w="0" w:type="dxa"/>
            </w:tcMar>
            <w:vAlign w:val="bottom"/>
          </w:tcPr>
          <w:p>
            <w:pPr>
              <w:pStyle w:val="TableContents"/>
              <w:bidi w:val="0"/>
              <w:spacing w:before="0" w:after="283"/>
              <w:jc w:val="left"/>
              <w:rPr/>
            </w:pPr>
            <w:r>
              <w:rPr/>
              <w:t> </w:t>
            </w:r>
          </w:p>
        </w:tc>
        <w:tc>
          <w:tcPr>
            <w:tcW w:w="126" w:type="dxa"/>
            <w:tcBorders/>
            <w:tcMar>
              <w:bottom w:w="0" w:type="dxa"/>
            </w:tcMar>
            <w:vAlign w:val="bottom"/>
          </w:tcPr>
          <w:p>
            <w:pPr>
              <w:pStyle w:val="TableContents"/>
              <w:bidi w:val="0"/>
              <w:spacing w:before="0" w:after="283"/>
              <w:jc w:val="left"/>
              <w:rPr/>
            </w:pPr>
            <w:r>
              <w:rPr/>
              <w:t> </w:t>
            </w:r>
          </w:p>
        </w:tc>
        <w:tc>
          <w:tcPr>
            <w:tcW w:w="959" w:type="dxa"/>
            <w:tcBorders/>
            <w:tcMar>
              <w:bottom w:w="0" w:type="dxa"/>
            </w:tcMar>
            <w:vAlign w:val="bottom"/>
          </w:tcPr>
          <w:p>
            <w:pPr>
              <w:pStyle w:val="TableContents"/>
              <w:bidi w:val="0"/>
              <w:spacing w:before="0" w:after="0"/>
              <w:jc w:val="right"/>
              <w:rPr>
                <w:b/>
                <w:sz w:val="20"/>
              </w:rPr>
            </w:pPr>
            <w:r>
              <w:rPr>
                <w:b/>
                <w:sz w:val="20"/>
              </w:rPr>
              <w:t>-</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1" w:type="dxa"/>
            <w:tcBorders/>
            <w:tcMar>
              <w:bottom w:w="0" w:type="dxa"/>
            </w:tcMar>
            <w:vAlign w:val="bottom"/>
          </w:tcPr>
          <w:p>
            <w:pPr>
              <w:pStyle w:val="TableContents"/>
              <w:bidi w:val="0"/>
              <w:spacing w:before="0" w:after="283"/>
              <w:jc w:val="left"/>
              <w:rPr/>
            </w:pPr>
            <w:r>
              <w:rPr/>
              <w:t> </w:t>
            </w:r>
          </w:p>
        </w:tc>
        <w:tc>
          <w:tcPr>
            <w:tcW w:w="1639" w:type="dxa"/>
            <w:tcBorders/>
            <w:tcMar>
              <w:bottom w:w="0" w:type="dxa"/>
            </w:tcMar>
            <w:vAlign w:val="bottom"/>
          </w:tcPr>
          <w:p>
            <w:pPr>
              <w:pStyle w:val="TableContents"/>
              <w:bidi w:val="0"/>
              <w:spacing w:before="0" w:after="0"/>
              <w:jc w:val="right"/>
              <w:rPr>
                <w:b/>
                <w:sz w:val="20"/>
              </w:rPr>
            </w:pPr>
            <w:r>
              <w:rPr>
                <w:b/>
                <w:sz w:val="20"/>
              </w:rPr>
              <w:t>(1,167</w:t>
            </w:r>
          </w:p>
        </w:tc>
        <w:tc>
          <w:tcPr>
            <w:tcW w:w="80" w:type="dxa"/>
            <w:tcBorders/>
            <w:tcMar>
              <w:bottom w:w="0" w:type="dxa"/>
            </w:tcMar>
            <w:vAlign w:val="bottom"/>
          </w:tcPr>
          <w:p>
            <w:pPr>
              <w:pStyle w:val="TableContents"/>
              <w:bidi w:val="0"/>
              <w:spacing w:before="0" w:after="0"/>
              <w:jc w:val="left"/>
              <w:rPr>
                <w:b/>
                <w:sz w:val="20"/>
              </w:rPr>
            </w:pPr>
            <w:r>
              <w:rPr>
                <w:b/>
                <w:sz w:val="20"/>
              </w:rPr>
              <w:t>)</w:t>
            </w:r>
          </w:p>
        </w:tc>
        <w:tc>
          <w:tcPr>
            <w:tcW w:w="60" w:type="dxa"/>
            <w:tcBorders/>
            <w:tcMar>
              <w:bottom w:w="0" w:type="dxa"/>
            </w:tcMar>
            <w:vAlign w:val="bottom"/>
          </w:tcPr>
          <w:p>
            <w:pPr>
              <w:pStyle w:val="TableContents"/>
              <w:bidi w:val="0"/>
              <w:spacing w:before="0" w:after="283"/>
              <w:jc w:val="left"/>
              <w:rPr/>
            </w:pPr>
            <w:r>
              <w:rPr/>
              <w:t> </w:t>
            </w:r>
          </w:p>
        </w:tc>
        <w:tc>
          <w:tcPr>
            <w:tcW w:w="226" w:type="dxa"/>
            <w:tcBorders/>
            <w:tcMar>
              <w:bottom w:w="0" w:type="dxa"/>
            </w:tcMar>
            <w:vAlign w:val="bottom"/>
          </w:tcPr>
          <w:p>
            <w:pPr>
              <w:pStyle w:val="TableContents"/>
              <w:bidi w:val="0"/>
              <w:spacing w:before="0" w:after="283"/>
              <w:jc w:val="left"/>
              <w:rPr/>
            </w:pPr>
            <w:r>
              <w:rPr/>
              <w:t> </w:t>
            </w:r>
          </w:p>
        </w:tc>
        <w:tc>
          <w:tcPr>
            <w:tcW w:w="1834"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0"/>
              <w:jc w:val="right"/>
              <w:rPr>
                <w:b/>
                <w:sz w:val="20"/>
              </w:rPr>
            </w:pPr>
            <w:r>
              <w:rPr>
                <w:b/>
                <w:sz w:val="20"/>
              </w:rPr>
              <w:t>(1,167</w:t>
            </w:r>
          </w:p>
        </w:tc>
        <w:tc>
          <w:tcPr>
            <w:tcW w:w="80" w:type="dxa"/>
            <w:tcBorders/>
            <w:tcMar>
              <w:bottom w:w="0" w:type="dxa"/>
            </w:tcMar>
            <w:vAlign w:val="bottom"/>
          </w:tcPr>
          <w:p>
            <w:pPr>
              <w:pStyle w:val="TableContents"/>
              <w:bidi w:val="0"/>
              <w:spacing w:before="0" w:after="0"/>
              <w:jc w:val="left"/>
              <w:rPr>
                <w:b/>
                <w:sz w:val="20"/>
              </w:rPr>
            </w:pPr>
            <w:r>
              <w:rPr>
                <w:b/>
                <w:sz w:val="20"/>
              </w:rPr>
              <w:t>)</w:t>
            </w:r>
          </w:p>
        </w:tc>
      </w:tr>
      <w:tr>
        <w:trPr/>
        <w:tc>
          <w:tcPr>
            <w:tcW w:w="6455" w:type="dxa"/>
            <w:tcBorders>
              <w:bottom w:val="single" w:sz="12" w:space="0" w:color="000000"/>
            </w:tcBorders>
            <w:shd w:fill="CCEEFF" w:val="clear"/>
            <w:vAlign w:val="bottom"/>
          </w:tcPr>
          <w:p>
            <w:pPr>
              <w:pStyle w:val="TableContents"/>
              <w:bidi w:val="0"/>
              <w:spacing w:before="0" w:after="0"/>
              <w:jc w:val="left"/>
              <w:rPr>
                <w:sz w:val="20"/>
              </w:rPr>
            </w:pPr>
            <w:r>
              <w:rPr>
                <w:sz w:val="20"/>
              </w:rPr>
              <w:t>Accretion of redeemable convertible preferred stock</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34" w:type="dxa"/>
            <w:tcBorders>
              <w:bottom w:val="single" w:sz="12" w:space="0" w:color="000000"/>
            </w:tcBorders>
            <w:shd w:fill="CCEEFF" w:val="clear"/>
            <w:vAlign w:val="bottom"/>
          </w:tcPr>
          <w:p>
            <w:pPr>
              <w:pStyle w:val="TableContents"/>
              <w:bidi w:val="0"/>
              <w:spacing w:before="0" w:after="283"/>
              <w:jc w:val="left"/>
              <w:rPr/>
            </w:pPr>
            <w:r>
              <w:rPr/>
              <w:t> </w:t>
            </w:r>
          </w:p>
        </w:tc>
        <w:tc>
          <w:tcPr>
            <w:tcW w:w="1781" w:type="dxa"/>
            <w:tcBorders>
              <w:bottom w:val="single" w:sz="12" w:space="0" w:color="000000"/>
            </w:tcBorders>
            <w:shd w:fill="CCEEFF" w:val="clear"/>
            <w:vAlign w:val="bottom"/>
          </w:tcPr>
          <w:p>
            <w:pPr>
              <w:pStyle w:val="TableContents"/>
              <w:bidi w:val="0"/>
              <w:spacing w:before="0" w:after="0"/>
              <w:jc w:val="right"/>
              <w:rPr>
                <w:sz w:val="20"/>
              </w:rPr>
            </w:pPr>
            <w:r>
              <w:rPr>
                <w:sz w:val="20"/>
              </w:rPr>
              <w:t>-</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vAlign w:val="bottom"/>
          </w:tcPr>
          <w:p>
            <w:pPr>
              <w:pStyle w:val="TableContents"/>
              <w:bidi w:val="0"/>
              <w:spacing w:before="0" w:after="283"/>
              <w:jc w:val="left"/>
              <w:rPr/>
            </w:pPr>
            <w:r>
              <w:rPr/>
              <w:t> </w:t>
            </w:r>
          </w:p>
        </w:tc>
        <w:tc>
          <w:tcPr>
            <w:tcW w:w="959" w:type="dxa"/>
            <w:tcBorders>
              <w:bottom w:val="single" w:sz="12" w:space="0" w:color="000000"/>
            </w:tcBorders>
            <w:shd w:fill="CCEEFF" w:val="clear"/>
            <w:vAlign w:val="bottom"/>
          </w:tcPr>
          <w:p>
            <w:pPr>
              <w:pStyle w:val="TableContents"/>
              <w:bidi w:val="0"/>
              <w:spacing w:before="0" w:after="0"/>
              <w:jc w:val="right"/>
              <w:rPr>
                <w:sz w:val="20"/>
              </w:rPr>
            </w:pPr>
            <w:r>
              <w:rPr>
                <w:sz w:val="20"/>
              </w:rPr>
              <w:t>(3,936</w:t>
            </w:r>
          </w:p>
        </w:tc>
        <w:tc>
          <w:tcPr>
            <w:tcW w:w="80" w:type="dxa"/>
            <w:tcBorders>
              <w:bottom w:val="single" w:sz="12" w:space="0" w:color="000000"/>
            </w:tcBorders>
            <w:shd w:fill="CCEEFF" w:val="clear"/>
            <w:vAlign w:val="bottom"/>
          </w:tcPr>
          <w:p>
            <w:pPr>
              <w:pStyle w:val="TableContents"/>
              <w:bidi w:val="0"/>
              <w:spacing w:before="0" w:after="0"/>
              <w:jc w:val="left"/>
              <w:rPr>
                <w:sz w:val="20"/>
              </w:rPr>
            </w:pPr>
            <w:r>
              <w:rPr>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vAlign w:val="bottom"/>
          </w:tcPr>
          <w:p>
            <w:pPr>
              <w:pStyle w:val="TableContents"/>
              <w:bidi w:val="0"/>
              <w:spacing w:before="0" w:after="283"/>
              <w:jc w:val="left"/>
              <w:rPr/>
            </w:pPr>
            <w:r>
              <w:rPr/>
              <w:t> </w:t>
            </w:r>
          </w:p>
        </w:tc>
        <w:tc>
          <w:tcPr>
            <w:tcW w:w="1639" w:type="dxa"/>
            <w:tcBorders>
              <w:bottom w:val="single" w:sz="12" w:space="0" w:color="000000"/>
            </w:tcBorders>
            <w:shd w:fill="CCEEFF" w:val="clear"/>
            <w:vAlign w:val="bottom"/>
          </w:tcPr>
          <w:p>
            <w:pPr>
              <w:pStyle w:val="TableContents"/>
              <w:bidi w:val="0"/>
              <w:spacing w:before="0" w:after="0"/>
              <w:jc w:val="right"/>
              <w:rPr>
                <w:sz w:val="20"/>
              </w:rPr>
            </w:pPr>
            <w:r>
              <w:rPr>
                <w:sz w:val="20"/>
              </w:rPr>
              <w:t>(3,936</w:t>
            </w:r>
          </w:p>
        </w:tc>
        <w:tc>
          <w:tcPr>
            <w:tcW w:w="80" w:type="dxa"/>
            <w:tcBorders>
              <w:bottom w:val="single" w:sz="12" w:space="0" w:color="000000"/>
            </w:tcBorders>
            <w:shd w:fill="CCEEFF" w:val="clear"/>
            <w:vAlign w:val="bottom"/>
          </w:tcPr>
          <w:p>
            <w:pPr>
              <w:pStyle w:val="TableContents"/>
              <w:bidi w:val="0"/>
              <w:spacing w:before="0" w:after="0"/>
              <w:jc w:val="left"/>
              <w:rPr>
                <w:sz w:val="20"/>
              </w:rPr>
            </w:pPr>
            <w:r>
              <w:rPr>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vAlign w:val="bottom"/>
          </w:tcPr>
          <w:p>
            <w:pPr>
              <w:pStyle w:val="TableContents"/>
              <w:bidi w:val="0"/>
              <w:spacing w:before="0" w:after="283"/>
              <w:jc w:val="left"/>
              <w:rPr/>
            </w:pPr>
            <w:r>
              <w:rPr/>
              <w:t> </w:t>
            </w:r>
          </w:p>
        </w:tc>
        <w:tc>
          <w:tcPr>
            <w:tcW w:w="1834" w:type="dxa"/>
            <w:tcBorders>
              <w:bottom w:val="single" w:sz="12" w:space="0" w:color="000000"/>
            </w:tcBorders>
            <w:shd w:fill="CCEEFF" w:val="clear"/>
            <w:vAlign w:val="bottom"/>
          </w:tcPr>
          <w:p>
            <w:pPr>
              <w:pStyle w:val="TableContents"/>
              <w:bidi w:val="0"/>
              <w:spacing w:before="0" w:after="0"/>
              <w:jc w:val="right"/>
              <w:rPr>
                <w:sz w:val="20"/>
              </w:rPr>
            </w:pPr>
            <w:r>
              <w:rPr>
                <w:sz w:val="20"/>
              </w:rPr>
              <w:t>3,936</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0"/>
              <w:jc w:val="center"/>
              <w:rPr>
                <w:sz w:val="20"/>
              </w:rPr>
            </w:pPr>
            <w:r>
              <w:rPr>
                <w:sz w:val="20"/>
              </w:rPr>
              <w:t>[F]</w:t>
            </w:r>
          </w:p>
        </w:tc>
        <w:tc>
          <w:tcPr>
            <w:tcW w:w="60" w:type="dxa"/>
            <w:tcBorders>
              <w:bottom w:val="single" w:sz="12" w:space="0" w:color="000000"/>
            </w:tcBorders>
            <w:shd w:fill="CCEEFF" w:val="clear"/>
            <w:vAlign w:val="bottom"/>
          </w:tcPr>
          <w:p>
            <w:pPr>
              <w:pStyle w:val="TableContents"/>
              <w:bidi w:val="0"/>
              <w:spacing w:before="0" w:after="0"/>
              <w:jc w:val="left"/>
              <w:rPr>
                <w:sz w:val="20"/>
              </w:rPr>
            </w:pPr>
            <w:r>
              <w:rPr>
                <w:sz w:val="20"/>
              </w:rPr>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1055" w:type="dxa"/>
            <w:tcBorders>
              <w:bottom w:val="single" w:sz="12" w:space="0" w:color="000000"/>
            </w:tcBorders>
            <w:shd w:fill="CCEEFF" w:val="clear"/>
            <w:vAlign w:val="bottom"/>
          </w:tcPr>
          <w:p>
            <w:pPr>
              <w:pStyle w:val="TableContents"/>
              <w:bidi w:val="0"/>
              <w:spacing w:before="0" w:after="0"/>
              <w:jc w:val="right"/>
              <w:rPr>
                <w:sz w:val="20"/>
              </w:rPr>
            </w:pPr>
            <w:r>
              <w:rPr>
                <w:sz w:val="20"/>
              </w:rPr>
              <w:t>-</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6455" w:type="dxa"/>
            <w:tcBorders>
              <w:bottom w:val="single" w:sz="12" w:space="0" w:color="000000"/>
            </w:tcBorders>
            <w:vAlign w:val="bottom"/>
          </w:tcPr>
          <w:p>
            <w:pPr>
              <w:pStyle w:val="TableContents"/>
              <w:bidi w:val="0"/>
              <w:spacing w:before="0" w:after="0"/>
              <w:jc w:val="left"/>
              <w:rPr>
                <w:b/>
                <w:sz w:val="20"/>
              </w:rPr>
            </w:pPr>
            <w:r>
              <w:rPr>
                <w:b/>
                <w:sz w:val="20"/>
              </w:rPr>
              <w:t>Net loss available to common stockholders</w:t>
            </w:r>
          </w:p>
        </w:tc>
        <w:tc>
          <w:tcPr>
            <w:tcW w:w="60" w:type="dxa"/>
            <w:tcBorders>
              <w:bottom w:val="single" w:sz="12" w:space="0" w:color="000000"/>
            </w:tcBorders>
            <w:vAlign w:val="bottom"/>
          </w:tcPr>
          <w:p>
            <w:pPr>
              <w:pStyle w:val="TableContents"/>
              <w:bidi w:val="0"/>
              <w:spacing w:before="0" w:after="283"/>
              <w:jc w:val="left"/>
              <w:rPr/>
            </w:pPr>
            <w:r>
              <w:rPr/>
              <w:t> </w:t>
            </w:r>
          </w:p>
        </w:tc>
        <w:tc>
          <w:tcPr>
            <w:tcW w:w="234" w:type="dxa"/>
            <w:tcBorders>
              <w:bottom w:val="single" w:sz="12" w:space="0" w:color="000000"/>
            </w:tcBorders>
            <w:vAlign w:val="bottom"/>
          </w:tcPr>
          <w:p>
            <w:pPr>
              <w:pStyle w:val="TableContents"/>
              <w:bidi w:val="0"/>
              <w:spacing w:before="0" w:after="283"/>
              <w:jc w:val="left"/>
              <w:rPr/>
            </w:pPr>
            <w:r>
              <w:rPr/>
              <w:t> </w:t>
            </w:r>
          </w:p>
        </w:tc>
        <w:tc>
          <w:tcPr>
            <w:tcW w:w="1781" w:type="dxa"/>
            <w:tcBorders>
              <w:bottom w:val="single" w:sz="12" w:space="0" w:color="000000"/>
            </w:tcBorders>
            <w:vAlign w:val="bottom"/>
          </w:tcPr>
          <w:p>
            <w:pPr>
              <w:pStyle w:val="TableContents"/>
              <w:bidi w:val="0"/>
              <w:spacing w:before="0" w:after="0"/>
              <w:jc w:val="right"/>
              <w:rPr>
                <w:b/>
                <w:sz w:val="20"/>
              </w:rPr>
            </w:pPr>
            <w:r>
              <w:rPr>
                <w:b/>
                <w:sz w:val="20"/>
              </w:rPr>
              <w:t>(8,691</w:t>
            </w:r>
          </w:p>
        </w:tc>
        <w:tc>
          <w:tcPr>
            <w:tcW w:w="80" w:type="dxa"/>
            <w:tcBorders>
              <w:bottom w:val="single" w:sz="12" w:space="0" w:color="000000"/>
            </w:tcBorders>
            <w:vAlign w:val="bottom"/>
          </w:tcPr>
          <w:p>
            <w:pPr>
              <w:pStyle w:val="TableContents"/>
              <w:bidi w:val="0"/>
              <w:spacing w:before="0" w:after="0"/>
              <w:jc w:val="left"/>
              <w:rPr>
                <w:b/>
                <w:sz w:val="20"/>
              </w:rPr>
            </w:pPr>
            <w:r>
              <w:rPr>
                <w:b/>
                <w:sz w:val="2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126" w:type="dxa"/>
            <w:tcBorders>
              <w:bottom w:val="single" w:sz="12" w:space="0" w:color="000000"/>
            </w:tcBorders>
            <w:vAlign w:val="bottom"/>
          </w:tcPr>
          <w:p>
            <w:pPr>
              <w:pStyle w:val="TableContents"/>
              <w:bidi w:val="0"/>
              <w:spacing w:before="0" w:after="283"/>
              <w:jc w:val="left"/>
              <w:rPr/>
            </w:pPr>
            <w:r>
              <w:rPr/>
              <w:t> </w:t>
            </w:r>
          </w:p>
        </w:tc>
        <w:tc>
          <w:tcPr>
            <w:tcW w:w="959" w:type="dxa"/>
            <w:tcBorders>
              <w:bottom w:val="single" w:sz="12" w:space="0" w:color="000000"/>
            </w:tcBorders>
            <w:vAlign w:val="bottom"/>
          </w:tcPr>
          <w:p>
            <w:pPr>
              <w:pStyle w:val="TableContents"/>
              <w:bidi w:val="0"/>
              <w:spacing w:before="0" w:after="0"/>
              <w:jc w:val="right"/>
              <w:rPr>
                <w:b/>
                <w:sz w:val="20"/>
              </w:rPr>
            </w:pPr>
            <w:r>
              <w:rPr>
                <w:b/>
                <w:sz w:val="20"/>
              </w:rPr>
              <w:t>(12,655</w:t>
            </w:r>
          </w:p>
        </w:tc>
        <w:tc>
          <w:tcPr>
            <w:tcW w:w="80" w:type="dxa"/>
            <w:tcBorders>
              <w:bottom w:val="single" w:sz="12" w:space="0" w:color="000000"/>
            </w:tcBorders>
            <w:vAlign w:val="bottom"/>
          </w:tcPr>
          <w:p>
            <w:pPr>
              <w:pStyle w:val="TableContents"/>
              <w:bidi w:val="0"/>
              <w:spacing w:before="0" w:after="0"/>
              <w:jc w:val="left"/>
              <w:rPr>
                <w:b/>
                <w:sz w:val="20"/>
              </w:rPr>
            </w:pPr>
            <w:r>
              <w:rPr>
                <w:b/>
                <w:sz w:val="2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151" w:type="dxa"/>
            <w:tcBorders>
              <w:bottom w:val="single" w:sz="12" w:space="0" w:color="000000"/>
            </w:tcBorders>
            <w:vAlign w:val="bottom"/>
          </w:tcPr>
          <w:p>
            <w:pPr>
              <w:pStyle w:val="TableContents"/>
              <w:bidi w:val="0"/>
              <w:spacing w:before="0" w:after="283"/>
              <w:jc w:val="left"/>
              <w:rPr/>
            </w:pPr>
            <w:r>
              <w:rPr/>
              <w:t> </w:t>
            </w:r>
          </w:p>
        </w:tc>
        <w:tc>
          <w:tcPr>
            <w:tcW w:w="1639" w:type="dxa"/>
            <w:tcBorders>
              <w:bottom w:val="single" w:sz="12" w:space="0" w:color="000000"/>
            </w:tcBorders>
            <w:vAlign w:val="bottom"/>
          </w:tcPr>
          <w:p>
            <w:pPr>
              <w:pStyle w:val="TableContents"/>
              <w:bidi w:val="0"/>
              <w:spacing w:before="0" w:after="0"/>
              <w:jc w:val="right"/>
              <w:rPr>
                <w:b/>
                <w:sz w:val="20"/>
              </w:rPr>
            </w:pPr>
            <w:r>
              <w:rPr>
                <w:b/>
                <w:sz w:val="20"/>
              </w:rPr>
              <w:t>(21,346</w:t>
            </w:r>
          </w:p>
        </w:tc>
        <w:tc>
          <w:tcPr>
            <w:tcW w:w="80" w:type="dxa"/>
            <w:tcBorders>
              <w:bottom w:val="single" w:sz="12" w:space="0" w:color="000000"/>
            </w:tcBorders>
            <w:vAlign w:val="bottom"/>
          </w:tcPr>
          <w:p>
            <w:pPr>
              <w:pStyle w:val="TableContents"/>
              <w:bidi w:val="0"/>
              <w:spacing w:before="0" w:after="0"/>
              <w:jc w:val="left"/>
              <w:rPr>
                <w:b/>
                <w:sz w:val="20"/>
              </w:rPr>
            </w:pPr>
            <w:r>
              <w:rPr>
                <w:b/>
                <w:sz w:val="2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226" w:type="dxa"/>
            <w:tcBorders>
              <w:bottom w:val="single" w:sz="12" w:space="0" w:color="000000"/>
            </w:tcBorders>
            <w:vAlign w:val="bottom"/>
          </w:tcPr>
          <w:p>
            <w:pPr>
              <w:pStyle w:val="TableContents"/>
              <w:bidi w:val="0"/>
              <w:spacing w:before="0" w:after="283"/>
              <w:jc w:val="left"/>
              <w:rPr/>
            </w:pPr>
            <w:r>
              <w:rPr/>
              <w:t> </w:t>
            </w:r>
          </w:p>
        </w:tc>
        <w:tc>
          <w:tcPr>
            <w:tcW w:w="1834" w:type="dxa"/>
            <w:tcBorders>
              <w:bottom w:val="single" w:sz="12" w:space="0" w:color="000000"/>
            </w:tcBorders>
            <w:vAlign w:val="bottom"/>
          </w:tcPr>
          <w:p>
            <w:pPr>
              <w:pStyle w:val="TableContents"/>
              <w:bidi w:val="0"/>
              <w:spacing w:before="0" w:after="0"/>
              <w:jc w:val="right"/>
              <w:rPr>
                <w:b/>
                <w:sz w:val="20"/>
              </w:rPr>
            </w:pPr>
            <w:r>
              <w:rPr>
                <w:b/>
                <w:sz w:val="20"/>
              </w:rPr>
              <w:t>3,936</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1055" w:type="dxa"/>
            <w:tcBorders>
              <w:bottom w:val="single" w:sz="12" w:space="0" w:color="000000"/>
            </w:tcBorders>
            <w:vAlign w:val="bottom"/>
          </w:tcPr>
          <w:p>
            <w:pPr>
              <w:pStyle w:val="TableContents"/>
              <w:bidi w:val="0"/>
              <w:spacing w:before="0" w:after="0"/>
              <w:jc w:val="right"/>
              <w:rPr>
                <w:b/>
                <w:sz w:val="20"/>
              </w:rPr>
            </w:pPr>
            <w:r>
              <w:rPr>
                <w:b/>
                <w:sz w:val="20"/>
              </w:rPr>
              <w:t>(17,410</w:t>
            </w:r>
          </w:p>
        </w:tc>
        <w:tc>
          <w:tcPr>
            <w:tcW w:w="80" w:type="dxa"/>
            <w:tcBorders/>
            <w:tcMar>
              <w:bottom w:w="0" w:type="dxa"/>
            </w:tcMar>
            <w:vAlign w:val="bottom"/>
          </w:tcPr>
          <w:p>
            <w:pPr>
              <w:pStyle w:val="TableContents"/>
              <w:bidi w:val="0"/>
              <w:spacing w:before="0" w:after="0"/>
              <w:jc w:val="left"/>
              <w:rPr>
                <w:b/>
                <w:sz w:val="20"/>
              </w:rPr>
            </w:pPr>
            <w:r>
              <w:rPr>
                <w:b/>
                <w:sz w:val="20"/>
              </w:rPr>
              <w:t>)</w:t>
            </w:r>
          </w:p>
        </w:tc>
      </w:tr>
      <w:tr>
        <w:trPr/>
        <w:tc>
          <w:tcPr>
            <w:tcW w:w="6455" w:type="dxa"/>
            <w:tcBorders/>
            <w:shd w:fill="CCEEFF" w:val="clear"/>
            <w:tcMar>
              <w:bottom w:w="0" w:type="dxa"/>
            </w:tcMar>
            <w:vAlign w:val="bottom"/>
          </w:tcPr>
          <w:p>
            <w:pPr>
              <w:pStyle w:val="TableContents"/>
              <w:bidi w:val="0"/>
              <w:spacing w:before="0" w:after="0"/>
              <w:jc w:val="left"/>
              <w:rPr>
                <w:b/>
                <w:sz w:val="20"/>
              </w:rPr>
            </w:pPr>
            <w:r>
              <w:rPr>
                <w:b/>
                <w:sz w:val="20"/>
              </w:rPr>
              <w:t>Net loss per share attributable to common stockholders: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34" w:type="dxa"/>
            <w:tcBorders/>
            <w:shd w:fill="CCEEFF" w:val="clear"/>
            <w:tcMar>
              <w:bottom w:w="0" w:type="dxa"/>
            </w:tcMar>
            <w:vAlign w:val="bottom"/>
          </w:tcPr>
          <w:p>
            <w:pPr>
              <w:pStyle w:val="TableContents"/>
              <w:bidi w:val="0"/>
              <w:spacing w:before="0" w:after="283"/>
              <w:jc w:val="left"/>
              <w:rPr/>
            </w:pPr>
            <w:r>
              <w:rPr/>
              <w:t> </w:t>
            </w:r>
          </w:p>
        </w:tc>
        <w:tc>
          <w:tcPr>
            <w:tcW w:w="1781" w:type="dxa"/>
            <w:tcBorders/>
            <w:shd w:fill="CCEEFF" w:val="clear"/>
            <w:tcMar>
              <w:bottom w:w="0" w:type="dxa"/>
            </w:tcMar>
            <w:vAlign w:val="bottom"/>
          </w:tcPr>
          <w:p>
            <w:pPr>
              <w:pStyle w:val="TableContents"/>
              <w:bidi w:val="0"/>
              <w:spacing w:before="0" w:after="283"/>
              <w:jc w:val="right"/>
              <w:rPr/>
            </w:pPr>
            <w:r>
              <w:rPr/>
              <w:t> </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6" w:type="dxa"/>
            <w:tcBorders/>
            <w:shd w:fill="CCEEFF" w:val="clear"/>
            <w:tcMar>
              <w:bottom w:w="0" w:type="dxa"/>
            </w:tcMar>
            <w:vAlign w:val="bottom"/>
          </w:tcPr>
          <w:p>
            <w:pPr>
              <w:pStyle w:val="TableContents"/>
              <w:bidi w:val="0"/>
              <w:spacing w:before="0" w:after="283"/>
              <w:jc w:val="left"/>
              <w:rPr/>
            </w:pPr>
            <w:r>
              <w:rPr/>
              <w:t> </w:t>
            </w:r>
          </w:p>
        </w:tc>
        <w:tc>
          <w:tcPr>
            <w:tcW w:w="959" w:type="dxa"/>
            <w:tcBorders/>
            <w:shd w:fill="CCEEFF" w:val="clear"/>
            <w:tcMar>
              <w:bottom w:w="0" w:type="dxa"/>
            </w:tcMar>
            <w:vAlign w:val="bottom"/>
          </w:tcPr>
          <w:p>
            <w:pPr>
              <w:pStyle w:val="TableContents"/>
              <w:bidi w:val="0"/>
              <w:spacing w:before="0" w:after="283"/>
              <w:jc w:val="right"/>
              <w:rPr/>
            </w:pPr>
            <w:r>
              <w:rPr/>
              <w:t> </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1639" w:type="dxa"/>
            <w:tcBorders/>
            <w:shd w:fill="CCEEFF" w:val="clear"/>
            <w:tcMar>
              <w:bottom w:w="0" w:type="dxa"/>
            </w:tcMar>
            <w:vAlign w:val="bottom"/>
          </w:tcPr>
          <w:p>
            <w:pPr>
              <w:pStyle w:val="TableContents"/>
              <w:bidi w:val="0"/>
              <w:spacing w:before="0" w:after="283"/>
              <w:jc w:val="right"/>
              <w:rPr/>
            </w:pPr>
            <w:r>
              <w:rPr/>
              <w:t> </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283"/>
              <w:jc w:val="right"/>
              <w:rPr/>
            </w:pPr>
            <w:r>
              <w:rPr/>
              <w:t> </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6455" w:type="dxa"/>
            <w:tcBorders/>
            <w:tcMar>
              <w:bottom w:w="0" w:type="dxa"/>
            </w:tcMar>
            <w:vAlign w:val="bottom"/>
          </w:tcPr>
          <w:p>
            <w:pPr>
              <w:pStyle w:val="TableContents"/>
              <w:bidi w:val="0"/>
              <w:spacing w:before="0" w:after="0"/>
              <w:jc w:val="left"/>
              <w:rPr>
                <w:sz w:val="20"/>
              </w:rPr>
            </w:pPr>
            <w:r>
              <w:rPr>
                <w:sz w:val="20"/>
              </w:rPr>
              <w:t>Basic</w:t>
            </w:r>
          </w:p>
        </w:tc>
        <w:tc>
          <w:tcPr>
            <w:tcW w:w="60" w:type="dxa"/>
            <w:tcBorders/>
            <w:tcMar>
              <w:bottom w:w="0" w:type="dxa"/>
            </w:tcMar>
            <w:vAlign w:val="bottom"/>
          </w:tcPr>
          <w:p>
            <w:pPr>
              <w:pStyle w:val="TableContents"/>
              <w:bidi w:val="0"/>
              <w:spacing w:before="0" w:after="283"/>
              <w:jc w:val="left"/>
              <w:rPr/>
            </w:pPr>
            <w:r>
              <w:rPr/>
              <w:t> </w:t>
            </w:r>
          </w:p>
        </w:tc>
        <w:tc>
          <w:tcPr>
            <w:tcW w:w="234" w:type="dxa"/>
            <w:tcBorders/>
            <w:tcMar>
              <w:bottom w:w="0" w:type="dxa"/>
            </w:tcMar>
            <w:vAlign w:val="bottom"/>
          </w:tcPr>
          <w:p>
            <w:pPr>
              <w:pStyle w:val="TableContents"/>
              <w:bidi w:val="0"/>
              <w:spacing w:before="0" w:after="0"/>
              <w:jc w:val="left"/>
              <w:rPr>
                <w:sz w:val="20"/>
              </w:rPr>
            </w:pPr>
            <w:r>
              <w:rPr>
                <w:sz w:val="20"/>
              </w:rPr>
              <w:t>$</w:t>
            </w:r>
          </w:p>
        </w:tc>
        <w:tc>
          <w:tcPr>
            <w:tcW w:w="1781" w:type="dxa"/>
            <w:tcBorders/>
            <w:tcMar>
              <w:bottom w:w="0" w:type="dxa"/>
            </w:tcMar>
            <w:vAlign w:val="bottom"/>
          </w:tcPr>
          <w:p>
            <w:pPr>
              <w:pStyle w:val="TableContents"/>
              <w:bidi w:val="0"/>
              <w:spacing w:before="0" w:after="0"/>
              <w:jc w:val="right"/>
              <w:rPr>
                <w:sz w:val="20"/>
              </w:rPr>
            </w:pPr>
            <w:r>
              <w:rPr>
                <w:sz w:val="20"/>
              </w:rPr>
              <w:t>(0.10</w:t>
            </w:r>
          </w:p>
        </w:tc>
        <w:tc>
          <w:tcPr>
            <w:tcW w:w="80" w:type="dxa"/>
            <w:tcBorders/>
            <w:tcMar>
              <w:bottom w:w="0" w:type="dxa"/>
            </w:tcMar>
            <w:vAlign w:val="bottom"/>
          </w:tcPr>
          <w:p>
            <w:pPr>
              <w:pStyle w:val="TableContents"/>
              <w:bidi w:val="0"/>
              <w:spacing w:before="0" w:after="0"/>
              <w:jc w:val="left"/>
              <w:rPr>
                <w:sz w:val="20"/>
              </w:rPr>
            </w:pPr>
            <w:r>
              <w:rPr>
                <w:sz w:val="20"/>
              </w:rPr>
              <w:t>)</w:t>
            </w:r>
          </w:p>
        </w:tc>
        <w:tc>
          <w:tcPr>
            <w:tcW w:w="60" w:type="dxa"/>
            <w:tcBorders/>
            <w:tcMar>
              <w:bottom w:w="0" w:type="dxa"/>
            </w:tcMar>
            <w:vAlign w:val="bottom"/>
          </w:tcPr>
          <w:p>
            <w:pPr>
              <w:pStyle w:val="TableContents"/>
              <w:bidi w:val="0"/>
              <w:spacing w:before="0" w:after="283"/>
              <w:jc w:val="left"/>
              <w:rPr/>
            </w:pPr>
            <w:r>
              <w:rPr/>
              <w:t> </w:t>
            </w:r>
          </w:p>
        </w:tc>
        <w:tc>
          <w:tcPr>
            <w:tcW w:w="126" w:type="dxa"/>
            <w:tcBorders/>
            <w:tcMar>
              <w:bottom w:w="0" w:type="dxa"/>
            </w:tcMar>
            <w:vAlign w:val="bottom"/>
          </w:tcPr>
          <w:p>
            <w:pPr>
              <w:pStyle w:val="TableContents"/>
              <w:bidi w:val="0"/>
              <w:spacing w:before="0" w:after="0"/>
              <w:jc w:val="left"/>
              <w:rPr>
                <w:sz w:val="20"/>
              </w:rPr>
            </w:pPr>
            <w:r>
              <w:rPr>
                <w:sz w:val="20"/>
              </w:rPr>
              <w:t>$</w:t>
            </w:r>
          </w:p>
        </w:tc>
        <w:tc>
          <w:tcPr>
            <w:tcW w:w="959" w:type="dxa"/>
            <w:tcBorders/>
            <w:tcMar>
              <w:bottom w:w="0" w:type="dxa"/>
            </w:tcMar>
            <w:vAlign w:val="bottom"/>
          </w:tcPr>
          <w:p>
            <w:pPr>
              <w:pStyle w:val="TableContents"/>
              <w:bidi w:val="0"/>
              <w:spacing w:before="0" w:after="0"/>
              <w:jc w:val="right"/>
              <w:rPr>
                <w:sz w:val="20"/>
              </w:rPr>
            </w:pPr>
            <w:r>
              <w:rPr>
                <w:sz w:val="20"/>
              </w:rPr>
              <w:t>(1.26</w:t>
            </w:r>
          </w:p>
        </w:tc>
        <w:tc>
          <w:tcPr>
            <w:tcW w:w="80" w:type="dxa"/>
            <w:tcBorders/>
            <w:tcMar>
              <w:bottom w:w="0" w:type="dxa"/>
            </w:tcMar>
            <w:vAlign w:val="bottom"/>
          </w:tcPr>
          <w:p>
            <w:pPr>
              <w:pStyle w:val="TableContents"/>
              <w:bidi w:val="0"/>
              <w:spacing w:before="0" w:after="0"/>
              <w:jc w:val="left"/>
              <w:rPr>
                <w:sz w:val="20"/>
              </w:rPr>
            </w:pPr>
            <w:r>
              <w:rPr>
                <w:sz w:val="20"/>
              </w:rPr>
              <w:t>)</w:t>
            </w:r>
          </w:p>
        </w:tc>
        <w:tc>
          <w:tcPr>
            <w:tcW w:w="60" w:type="dxa"/>
            <w:tcBorders/>
            <w:tcMar>
              <w:bottom w:w="0" w:type="dxa"/>
            </w:tcMar>
            <w:vAlign w:val="bottom"/>
          </w:tcPr>
          <w:p>
            <w:pPr>
              <w:pStyle w:val="TableContents"/>
              <w:bidi w:val="0"/>
              <w:spacing w:before="0" w:after="283"/>
              <w:jc w:val="left"/>
              <w:rPr/>
            </w:pPr>
            <w:r>
              <w:rPr/>
              <w:t> </w:t>
            </w:r>
          </w:p>
        </w:tc>
        <w:tc>
          <w:tcPr>
            <w:tcW w:w="151" w:type="dxa"/>
            <w:tcBorders/>
            <w:tcMar>
              <w:bottom w:w="0" w:type="dxa"/>
            </w:tcMar>
            <w:vAlign w:val="bottom"/>
          </w:tcPr>
          <w:p>
            <w:pPr>
              <w:pStyle w:val="TableContents"/>
              <w:bidi w:val="0"/>
              <w:spacing w:before="0" w:after="283"/>
              <w:jc w:val="left"/>
              <w:rPr/>
            </w:pPr>
            <w:r>
              <w:rPr/>
              <w:t> </w:t>
            </w:r>
          </w:p>
        </w:tc>
        <w:tc>
          <w:tcPr>
            <w:tcW w:w="1639"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26" w:type="dxa"/>
            <w:tcBorders/>
            <w:tcMar>
              <w:bottom w:w="0" w:type="dxa"/>
            </w:tcMar>
            <w:vAlign w:val="bottom"/>
          </w:tcPr>
          <w:p>
            <w:pPr>
              <w:pStyle w:val="TableContents"/>
              <w:bidi w:val="0"/>
              <w:spacing w:before="0" w:after="283"/>
              <w:jc w:val="left"/>
              <w:rPr/>
            </w:pPr>
            <w:r>
              <w:rPr/>
              <w:t> </w:t>
            </w:r>
          </w:p>
        </w:tc>
        <w:tc>
          <w:tcPr>
            <w:tcW w:w="1834"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0"/>
              <w:jc w:val="center"/>
              <w:rPr>
                <w:sz w:val="20"/>
              </w:rPr>
            </w:pPr>
            <w:r>
              <w:rPr>
                <w:sz w:val="20"/>
              </w:rPr>
              <w:t>[Note 3]</w:t>
            </w:r>
          </w:p>
        </w:tc>
        <w:tc>
          <w:tcPr>
            <w:tcW w:w="60" w:type="dxa"/>
            <w:tcBorders/>
            <w:tcMar>
              <w:bottom w:w="0" w:type="dxa"/>
            </w:tcMar>
            <w:vAlign w:val="bottom"/>
          </w:tcPr>
          <w:p>
            <w:pPr>
              <w:pStyle w:val="TableContents"/>
              <w:bidi w:val="0"/>
              <w:spacing w:before="0" w:after="0"/>
              <w:jc w:val="left"/>
              <w:rPr>
                <w:sz w:val="20"/>
              </w:rPr>
            </w:pPr>
            <w:r>
              <w:rPr>
                <w:sz w:val="20"/>
              </w:rPr>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sz w:val="20"/>
              </w:rPr>
            </w:pPr>
            <w:r>
              <w:rPr>
                <w:sz w:val="20"/>
              </w:rPr>
              <w:t>$</w:t>
            </w:r>
          </w:p>
        </w:tc>
        <w:tc>
          <w:tcPr>
            <w:tcW w:w="1055" w:type="dxa"/>
            <w:tcBorders/>
            <w:tcMar>
              <w:bottom w:w="0" w:type="dxa"/>
            </w:tcMar>
            <w:vAlign w:val="bottom"/>
          </w:tcPr>
          <w:p>
            <w:pPr>
              <w:pStyle w:val="TableContents"/>
              <w:bidi w:val="0"/>
              <w:spacing w:before="0" w:after="0"/>
              <w:jc w:val="right"/>
              <w:rPr>
                <w:sz w:val="20"/>
              </w:rPr>
            </w:pPr>
            <w:r>
              <w:rPr>
                <w:sz w:val="20"/>
              </w:rPr>
              <w:t>(0.16</w:t>
            </w:r>
          </w:p>
        </w:tc>
        <w:tc>
          <w:tcPr>
            <w:tcW w:w="80" w:type="dxa"/>
            <w:tcBorders/>
            <w:tcMar>
              <w:bottom w:w="0" w:type="dxa"/>
            </w:tcMar>
            <w:vAlign w:val="bottom"/>
          </w:tcPr>
          <w:p>
            <w:pPr>
              <w:pStyle w:val="TableContents"/>
              <w:bidi w:val="0"/>
              <w:spacing w:before="0" w:after="0"/>
              <w:jc w:val="left"/>
              <w:rPr>
                <w:sz w:val="20"/>
              </w:rPr>
            </w:pPr>
            <w:r>
              <w:rPr>
                <w:sz w:val="20"/>
              </w:rPr>
              <w:t>)</w:t>
            </w:r>
          </w:p>
        </w:tc>
      </w:tr>
      <w:tr>
        <w:trPr/>
        <w:tc>
          <w:tcPr>
            <w:tcW w:w="6455" w:type="dxa"/>
            <w:tcBorders>
              <w:bottom w:val="single" w:sz="12" w:space="0" w:color="000000"/>
            </w:tcBorders>
            <w:shd w:fill="CCEEFF" w:val="clear"/>
            <w:vAlign w:val="bottom"/>
          </w:tcPr>
          <w:p>
            <w:pPr>
              <w:pStyle w:val="TableContents"/>
              <w:bidi w:val="0"/>
              <w:spacing w:before="0" w:after="0"/>
              <w:jc w:val="left"/>
              <w:rPr>
                <w:sz w:val="20"/>
              </w:rPr>
            </w:pPr>
            <w:r>
              <w:rPr>
                <w:sz w:val="20"/>
              </w:rPr>
              <w:t>Diluted</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34" w:type="dxa"/>
            <w:tcBorders>
              <w:bottom w:val="single" w:sz="12" w:space="0" w:color="000000"/>
            </w:tcBorders>
            <w:shd w:fill="CCEEFF" w:val="clear"/>
            <w:vAlign w:val="bottom"/>
          </w:tcPr>
          <w:p>
            <w:pPr>
              <w:pStyle w:val="TableContents"/>
              <w:bidi w:val="0"/>
              <w:spacing w:before="0" w:after="0"/>
              <w:jc w:val="left"/>
              <w:rPr>
                <w:sz w:val="20"/>
              </w:rPr>
            </w:pPr>
            <w:r>
              <w:rPr>
                <w:sz w:val="20"/>
              </w:rPr>
              <w:t>$</w:t>
            </w:r>
          </w:p>
        </w:tc>
        <w:tc>
          <w:tcPr>
            <w:tcW w:w="1781" w:type="dxa"/>
            <w:tcBorders>
              <w:bottom w:val="single" w:sz="12" w:space="0" w:color="000000"/>
            </w:tcBorders>
            <w:shd w:fill="CCEEFF" w:val="clear"/>
            <w:vAlign w:val="bottom"/>
          </w:tcPr>
          <w:p>
            <w:pPr>
              <w:pStyle w:val="TableContents"/>
              <w:bidi w:val="0"/>
              <w:spacing w:before="0" w:after="0"/>
              <w:jc w:val="right"/>
              <w:rPr>
                <w:sz w:val="20"/>
              </w:rPr>
            </w:pPr>
            <w:r>
              <w:rPr>
                <w:sz w:val="20"/>
              </w:rPr>
              <w:t>(0.10</w:t>
            </w:r>
          </w:p>
        </w:tc>
        <w:tc>
          <w:tcPr>
            <w:tcW w:w="80" w:type="dxa"/>
            <w:tcBorders>
              <w:bottom w:val="single" w:sz="12" w:space="0" w:color="000000"/>
            </w:tcBorders>
            <w:shd w:fill="CCEEFF" w:val="clear"/>
            <w:vAlign w:val="bottom"/>
          </w:tcPr>
          <w:p>
            <w:pPr>
              <w:pStyle w:val="TableContents"/>
              <w:bidi w:val="0"/>
              <w:spacing w:before="0" w:after="0"/>
              <w:jc w:val="left"/>
              <w:rPr>
                <w:sz w:val="20"/>
              </w:rPr>
            </w:pPr>
            <w:r>
              <w:rPr>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vAlign w:val="bottom"/>
          </w:tcPr>
          <w:p>
            <w:pPr>
              <w:pStyle w:val="TableContents"/>
              <w:bidi w:val="0"/>
              <w:spacing w:before="0" w:after="0"/>
              <w:jc w:val="left"/>
              <w:rPr>
                <w:sz w:val="20"/>
              </w:rPr>
            </w:pPr>
            <w:r>
              <w:rPr>
                <w:sz w:val="20"/>
              </w:rPr>
              <w:t>$</w:t>
            </w:r>
          </w:p>
        </w:tc>
        <w:tc>
          <w:tcPr>
            <w:tcW w:w="959" w:type="dxa"/>
            <w:tcBorders>
              <w:bottom w:val="single" w:sz="12" w:space="0" w:color="000000"/>
            </w:tcBorders>
            <w:shd w:fill="CCEEFF" w:val="clear"/>
            <w:vAlign w:val="bottom"/>
          </w:tcPr>
          <w:p>
            <w:pPr>
              <w:pStyle w:val="TableContents"/>
              <w:bidi w:val="0"/>
              <w:spacing w:before="0" w:after="0"/>
              <w:jc w:val="right"/>
              <w:rPr>
                <w:sz w:val="20"/>
              </w:rPr>
            </w:pPr>
            <w:r>
              <w:rPr>
                <w:sz w:val="20"/>
              </w:rPr>
              <w:t>(1.26</w:t>
            </w:r>
          </w:p>
        </w:tc>
        <w:tc>
          <w:tcPr>
            <w:tcW w:w="80" w:type="dxa"/>
            <w:tcBorders>
              <w:bottom w:val="single" w:sz="12" w:space="0" w:color="000000"/>
            </w:tcBorders>
            <w:shd w:fill="CCEEFF" w:val="clear"/>
            <w:vAlign w:val="bottom"/>
          </w:tcPr>
          <w:p>
            <w:pPr>
              <w:pStyle w:val="TableContents"/>
              <w:bidi w:val="0"/>
              <w:spacing w:before="0" w:after="0"/>
              <w:jc w:val="left"/>
              <w:rPr>
                <w:sz w:val="20"/>
              </w:rPr>
            </w:pPr>
            <w:r>
              <w:rPr>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vAlign w:val="bottom"/>
          </w:tcPr>
          <w:p>
            <w:pPr>
              <w:pStyle w:val="TableContents"/>
              <w:bidi w:val="0"/>
              <w:spacing w:before="0" w:after="283"/>
              <w:jc w:val="left"/>
              <w:rPr/>
            </w:pPr>
            <w:r>
              <w:rPr/>
              <w:t> </w:t>
            </w:r>
          </w:p>
        </w:tc>
        <w:tc>
          <w:tcPr>
            <w:tcW w:w="1639" w:type="dxa"/>
            <w:tcBorders>
              <w:bottom w:val="single" w:sz="12" w:space="0" w:color="000000"/>
            </w:tcBorders>
            <w:shd w:fill="CCEEFF" w:val="clear"/>
            <w:vAlign w:val="bottom"/>
          </w:tcPr>
          <w:p>
            <w:pPr>
              <w:pStyle w:val="TableContents"/>
              <w:bidi w:val="0"/>
              <w:spacing w:before="0" w:after="283"/>
              <w:jc w:val="right"/>
              <w:rPr/>
            </w:pPr>
            <w:r>
              <w:rPr/>
              <w:t> </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vAlign w:val="bottom"/>
          </w:tcPr>
          <w:p>
            <w:pPr>
              <w:pStyle w:val="TableContents"/>
              <w:bidi w:val="0"/>
              <w:spacing w:before="0" w:after="283"/>
              <w:jc w:val="left"/>
              <w:rPr/>
            </w:pPr>
            <w:r>
              <w:rPr/>
              <w:t> </w:t>
            </w:r>
          </w:p>
        </w:tc>
        <w:tc>
          <w:tcPr>
            <w:tcW w:w="1834"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0"/>
              <w:jc w:val="center"/>
              <w:rPr>
                <w:sz w:val="20"/>
              </w:rPr>
            </w:pPr>
            <w:r>
              <w:rPr>
                <w:sz w:val="20"/>
              </w:rPr>
              <w:t>[Note 3]</w:t>
            </w:r>
          </w:p>
        </w:tc>
        <w:tc>
          <w:tcPr>
            <w:tcW w:w="60" w:type="dxa"/>
            <w:tcBorders>
              <w:bottom w:val="single" w:sz="12" w:space="0" w:color="000000"/>
            </w:tcBorders>
            <w:shd w:fill="CCEEFF" w:val="clear"/>
            <w:vAlign w:val="bottom"/>
          </w:tcPr>
          <w:p>
            <w:pPr>
              <w:pStyle w:val="TableContents"/>
              <w:bidi w:val="0"/>
              <w:spacing w:before="0" w:after="0"/>
              <w:jc w:val="left"/>
              <w:rPr>
                <w:sz w:val="20"/>
              </w:rPr>
            </w:pPr>
            <w:r>
              <w:rPr>
                <w:sz w:val="20"/>
              </w:rPr>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0"/>
              <w:jc w:val="left"/>
              <w:rPr>
                <w:sz w:val="20"/>
              </w:rPr>
            </w:pPr>
            <w:r>
              <w:rPr>
                <w:sz w:val="20"/>
              </w:rPr>
              <w:t>$</w:t>
            </w:r>
          </w:p>
        </w:tc>
        <w:tc>
          <w:tcPr>
            <w:tcW w:w="1055" w:type="dxa"/>
            <w:tcBorders>
              <w:bottom w:val="single" w:sz="12" w:space="0" w:color="000000"/>
            </w:tcBorders>
            <w:shd w:fill="CCEEFF" w:val="clear"/>
            <w:vAlign w:val="bottom"/>
          </w:tcPr>
          <w:p>
            <w:pPr>
              <w:pStyle w:val="TableContents"/>
              <w:bidi w:val="0"/>
              <w:spacing w:before="0" w:after="0"/>
              <w:jc w:val="right"/>
              <w:rPr>
                <w:sz w:val="20"/>
              </w:rPr>
            </w:pPr>
            <w:r>
              <w:rPr>
                <w:sz w:val="20"/>
              </w:rPr>
              <w:t>(0.17</w:t>
            </w:r>
          </w:p>
        </w:tc>
        <w:tc>
          <w:tcPr>
            <w:tcW w:w="80" w:type="dxa"/>
            <w:tcBorders/>
            <w:shd w:fill="CCEEFF" w:val="clear"/>
            <w:tcMar>
              <w:bottom w:w="0" w:type="dxa"/>
            </w:tcMar>
            <w:vAlign w:val="bottom"/>
          </w:tcPr>
          <w:p>
            <w:pPr>
              <w:pStyle w:val="TableContents"/>
              <w:bidi w:val="0"/>
              <w:spacing w:before="0" w:after="0"/>
              <w:jc w:val="left"/>
              <w:rPr>
                <w:sz w:val="20"/>
              </w:rPr>
            </w:pPr>
            <w:r>
              <w:rPr>
                <w:sz w:val="20"/>
              </w:rPr>
              <w:t>)</w:t>
            </w:r>
          </w:p>
        </w:tc>
      </w:tr>
      <w:tr>
        <w:trPr/>
        <w:tc>
          <w:tcPr>
            <w:tcW w:w="6455" w:type="dxa"/>
            <w:tcBorders/>
            <w:tcMar>
              <w:bottom w:w="0" w:type="dxa"/>
            </w:tcMar>
            <w:vAlign w:val="bottom"/>
          </w:tcPr>
          <w:p>
            <w:pPr>
              <w:pStyle w:val="TableContents"/>
              <w:bidi w:val="0"/>
              <w:spacing w:before="0" w:after="0"/>
              <w:ind w:left="180" w:right="0" w:hanging="180"/>
              <w:jc w:val="left"/>
              <w:rPr>
                <w:b/>
                <w:sz w:val="20"/>
              </w:rPr>
            </w:pPr>
            <w:r>
              <w:rPr>
                <w:b/>
                <w:sz w:val="20"/>
              </w:rPr>
              <w:t>Weighted average shares used in calculating net loss per share attributable to common stockholders:</w:t>
            </w:r>
          </w:p>
        </w:tc>
        <w:tc>
          <w:tcPr>
            <w:tcW w:w="60" w:type="dxa"/>
            <w:tcBorders/>
            <w:tcMar>
              <w:bottom w:w="0" w:type="dxa"/>
            </w:tcMar>
            <w:vAlign w:val="bottom"/>
          </w:tcPr>
          <w:p>
            <w:pPr>
              <w:pStyle w:val="TableContents"/>
              <w:bidi w:val="0"/>
              <w:spacing w:before="0" w:after="283"/>
              <w:jc w:val="left"/>
              <w:rPr/>
            </w:pPr>
            <w:r>
              <w:rPr/>
              <w:t> </w:t>
            </w:r>
          </w:p>
        </w:tc>
        <w:tc>
          <w:tcPr>
            <w:tcW w:w="234" w:type="dxa"/>
            <w:tcBorders/>
            <w:tcMar>
              <w:bottom w:w="0" w:type="dxa"/>
            </w:tcMar>
            <w:vAlign w:val="bottom"/>
          </w:tcPr>
          <w:p>
            <w:pPr>
              <w:pStyle w:val="TableContents"/>
              <w:bidi w:val="0"/>
              <w:spacing w:before="0" w:after="283"/>
              <w:jc w:val="left"/>
              <w:rPr/>
            </w:pPr>
            <w:r>
              <w:rPr/>
              <w:t> </w:t>
            </w:r>
          </w:p>
        </w:tc>
        <w:tc>
          <w:tcPr>
            <w:tcW w:w="1781"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6" w:type="dxa"/>
            <w:tcBorders/>
            <w:tcMar>
              <w:bottom w:w="0" w:type="dxa"/>
            </w:tcMar>
            <w:vAlign w:val="bottom"/>
          </w:tcPr>
          <w:p>
            <w:pPr>
              <w:pStyle w:val="TableContents"/>
              <w:bidi w:val="0"/>
              <w:spacing w:before="0" w:after="283"/>
              <w:jc w:val="left"/>
              <w:rPr/>
            </w:pPr>
            <w:r>
              <w:rPr/>
              <w:t> </w:t>
            </w:r>
          </w:p>
        </w:tc>
        <w:tc>
          <w:tcPr>
            <w:tcW w:w="959"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1" w:type="dxa"/>
            <w:tcBorders/>
            <w:tcMar>
              <w:bottom w:w="0" w:type="dxa"/>
            </w:tcMar>
            <w:vAlign w:val="bottom"/>
          </w:tcPr>
          <w:p>
            <w:pPr>
              <w:pStyle w:val="TableContents"/>
              <w:bidi w:val="0"/>
              <w:spacing w:before="0" w:after="283"/>
              <w:jc w:val="left"/>
              <w:rPr/>
            </w:pPr>
            <w:r>
              <w:rPr/>
              <w:t> </w:t>
            </w:r>
          </w:p>
        </w:tc>
        <w:tc>
          <w:tcPr>
            <w:tcW w:w="1639"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26" w:type="dxa"/>
            <w:tcBorders/>
            <w:tcMar>
              <w:bottom w:w="0" w:type="dxa"/>
            </w:tcMar>
            <w:vAlign w:val="bottom"/>
          </w:tcPr>
          <w:p>
            <w:pPr>
              <w:pStyle w:val="TableContents"/>
              <w:bidi w:val="0"/>
              <w:spacing w:before="0" w:after="283"/>
              <w:jc w:val="left"/>
              <w:rPr/>
            </w:pPr>
            <w:r>
              <w:rPr/>
              <w:t> </w:t>
            </w:r>
          </w:p>
        </w:tc>
        <w:tc>
          <w:tcPr>
            <w:tcW w:w="1834"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r>
      <w:tr>
        <w:trPr/>
        <w:tc>
          <w:tcPr>
            <w:tcW w:w="6455" w:type="dxa"/>
            <w:tcBorders/>
            <w:shd w:fill="CCEEFF" w:val="clear"/>
            <w:tcMar>
              <w:bottom w:w="0" w:type="dxa"/>
            </w:tcMar>
            <w:vAlign w:val="bottom"/>
          </w:tcPr>
          <w:p>
            <w:pPr>
              <w:pStyle w:val="TableContents"/>
              <w:bidi w:val="0"/>
              <w:spacing w:before="0" w:after="0"/>
              <w:jc w:val="left"/>
              <w:rPr>
                <w:sz w:val="20"/>
              </w:rPr>
            </w:pPr>
            <w:r>
              <w:rPr>
                <w:sz w:val="20"/>
              </w:rPr>
              <w:t>Basic</w:t>
            </w:r>
          </w:p>
        </w:tc>
        <w:tc>
          <w:tcPr>
            <w:tcW w:w="60" w:type="dxa"/>
            <w:tcBorders/>
            <w:shd w:fill="CCEEFF" w:val="clear"/>
            <w:tcMar>
              <w:bottom w:w="0" w:type="dxa"/>
            </w:tcMar>
            <w:vAlign w:val="bottom"/>
          </w:tcPr>
          <w:p>
            <w:pPr>
              <w:pStyle w:val="TableContents"/>
              <w:bidi w:val="0"/>
              <w:spacing w:before="0" w:after="283"/>
              <w:jc w:val="left"/>
              <w:rPr/>
            </w:pPr>
            <w:r>
              <w:rPr/>
              <w:t> </w:t>
            </w:r>
          </w:p>
        </w:tc>
        <w:tc>
          <w:tcPr>
            <w:tcW w:w="234" w:type="dxa"/>
            <w:tcBorders/>
            <w:shd w:fill="CCEEFF" w:val="clear"/>
            <w:tcMar>
              <w:bottom w:w="0" w:type="dxa"/>
            </w:tcMar>
            <w:vAlign w:val="bottom"/>
          </w:tcPr>
          <w:p>
            <w:pPr>
              <w:pStyle w:val="TableContents"/>
              <w:bidi w:val="0"/>
              <w:spacing w:before="0" w:after="283"/>
              <w:jc w:val="left"/>
              <w:rPr/>
            </w:pPr>
            <w:r>
              <w:rPr/>
              <w:t> </w:t>
            </w:r>
          </w:p>
        </w:tc>
        <w:tc>
          <w:tcPr>
            <w:tcW w:w="1781" w:type="dxa"/>
            <w:tcBorders/>
            <w:shd w:fill="CCEEFF" w:val="clear"/>
            <w:tcMar>
              <w:bottom w:w="0" w:type="dxa"/>
            </w:tcMar>
            <w:vAlign w:val="bottom"/>
          </w:tcPr>
          <w:p>
            <w:pPr>
              <w:pStyle w:val="TableContents"/>
              <w:bidi w:val="0"/>
              <w:spacing w:before="0" w:after="0"/>
              <w:jc w:val="right"/>
              <w:rPr>
                <w:sz w:val="20"/>
              </w:rPr>
            </w:pPr>
            <w:r>
              <w:rPr>
                <w:sz w:val="20"/>
              </w:rPr>
              <w:t>91,317,142</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6" w:type="dxa"/>
            <w:tcBorders/>
            <w:shd w:fill="CCEEFF" w:val="clear"/>
            <w:tcMar>
              <w:bottom w:w="0" w:type="dxa"/>
            </w:tcMar>
            <w:vAlign w:val="bottom"/>
          </w:tcPr>
          <w:p>
            <w:pPr>
              <w:pStyle w:val="TableContents"/>
              <w:bidi w:val="0"/>
              <w:spacing w:before="0" w:after="283"/>
              <w:jc w:val="left"/>
              <w:rPr/>
            </w:pPr>
            <w:r>
              <w:rPr/>
              <w:t> </w:t>
            </w:r>
          </w:p>
        </w:tc>
        <w:tc>
          <w:tcPr>
            <w:tcW w:w="959" w:type="dxa"/>
            <w:tcBorders/>
            <w:shd w:fill="CCEEFF" w:val="clear"/>
            <w:tcMar>
              <w:bottom w:w="0" w:type="dxa"/>
            </w:tcMar>
            <w:vAlign w:val="bottom"/>
          </w:tcPr>
          <w:p>
            <w:pPr>
              <w:pStyle w:val="TableContents"/>
              <w:bidi w:val="0"/>
              <w:spacing w:before="0" w:after="0"/>
              <w:jc w:val="right"/>
              <w:rPr>
                <w:sz w:val="20"/>
              </w:rPr>
            </w:pPr>
            <w:r>
              <w:rPr>
                <w:sz w:val="20"/>
              </w:rPr>
              <w:t>10,023,615</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1639" w:type="dxa"/>
            <w:tcBorders/>
            <w:shd w:fill="CCEEFF" w:val="clear"/>
            <w:tcMar>
              <w:bottom w:w="0" w:type="dxa"/>
            </w:tcMar>
            <w:vAlign w:val="bottom"/>
          </w:tcPr>
          <w:p>
            <w:pPr>
              <w:pStyle w:val="TableContents"/>
              <w:bidi w:val="0"/>
              <w:spacing w:before="0" w:after="283"/>
              <w:jc w:val="right"/>
              <w:rPr/>
            </w:pPr>
            <w:r>
              <w:rPr/>
              <w:t> </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0"/>
              <w:jc w:val="center"/>
              <w:rPr>
                <w:sz w:val="20"/>
              </w:rPr>
            </w:pPr>
            <w:r>
              <w:rPr>
                <w:sz w:val="20"/>
              </w:rPr>
              <w:t>[Note 3]</w:t>
            </w:r>
          </w:p>
        </w:tc>
        <w:tc>
          <w:tcPr>
            <w:tcW w:w="60" w:type="dxa"/>
            <w:tcBorders/>
            <w:shd w:fill="CCEEFF" w:val="clear"/>
            <w:tcMar>
              <w:bottom w:w="0" w:type="dxa"/>
            </w:tcMar>
            <w:vAlign w:val="bottom"/>
          </w:tcPr>
          <w:p>
            <w:pPr>
              <w:pStyle w:val="TableContents"/>
              <w:bidi w:val="0"/>
              <w:spacing w:before="0" w:after="0"/>
              <w:jc w:val="left"/>
              <w:rPr>
                <w:sz w:val="20"/>
              </w:rPr>
            </w:pPr>
            <w:r>
              <w:rPr>
                <w:sz w:val="20"/>
              </w:rPr>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sz w:val="20"/>
              </w:rPr>
            </w:pPr>
            <w:r>
              <w:rPr>
                <w:sz w:val="20"/>
              </w:rPr>
              <w:t>105,767,669</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6455" w:type="dxa"/>
            <w:tcBorders>
              <w:bottom w:val="single" w:sz="12" w:space="0" w:color="000000"/>
            </w:tcBorders>
            <w:vAlign w:val="bottom"/>
          </w:tcPr>
          <w:p>
            <w:pPr>
              <w:pStyle w:val="TableContents"/>
              <w:bidi w:val="0"/>
              <w:spacing w:before="0" w:after="0"/>
              <w:jc w:val="left"/>
              <w:rPr>
                <w:sz w:val="20"/>
              </w:rPr>
            </w:pPr>
            <w:r>
              <w:rPr>
                <w:sz w:val="20"/>
              </w:rPr>
              <w:t>Diluted</w:t>
            </w:r>
          </w:p>
        </w:tc>
        <w:tc>
          <w:tcPr>
            <w:tcW w:w="60" w:type="dxa"/>
            <w:tcBorders>
              <w:bottom w:val="single" w:sz="12" w:space="0" w:color="000000"/>
            </w:tcBorders>
            <w:vAlign w:val="bottom"/>
          </w:tcPr>
          <w:p>
            <w:pPr>
              <w:pStyle w:val="TableContents"/>
              <w:bidi w:val="0"/>
              <w:spacing w:before="0" w:after="283"/>
              <w:jc w:val="left"/>
              <w:rPr/>
            </w:pPr>
            <w:r>
              <w:rPr/>
              <w:t> </w:t>
            </w:r>
          </w:p>
        </w:tc>
        <w:tc>
          <w:tcPr>
            <w:tcW w:w="234" w:type="dxa"/>
            <w:tcBorders>
              <w:bottom w:val="single" w:sz="12" w:space="0" w:color="000000"/>
            </w:tcBorders>
            <w:vAlign w:val="bottom"/>
          </w:tcPr>
          <w:p>
            <w:pPr>
              <w:pStyle w:val="TableContents"/>
              <w:bidi w:val="0"/>
              <w:spacing w:before="0" w:after="283"/>
              <w:jc w:val="left"/>
              <w:rPr/>
            </w:pPr>
            <w:r>
              <w:rPr/>
              <w:t> </w:t>
            </w:r>
          </w:p>
        </w:tc>
        <w:tc>
          <w:tcPr>
            <w:tcW w:w="1781" w:type="dxa"/>
            <w:tcBorders>
              <w:bottom w:val="single" w:sz="12" w:space="0" w:color="000000"/>
            </w:tcBorders>
            <w:vAlign w:val="bottom"/>
          </w:tcPr>
          <w:p>
            <w:pPr>
              <w:pStyle w:val="TableContents"/>
              <w:bidi w:val="0"/>
              <w:spacing w:before="0" w:after="0"/>
              <w:jc w:val="right"/>
              <w:rPr>
                <w:sz w:val="20"/>
              </w:rPr>
            </w:pPr>
            <w:r>
              <w:rPr>
                <w:sz w:val="20"/>
              </w:rPr>
              <w:t>91,344,584</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26" w:type="dxa"/>
            <w:tcBorders>
              <w:bottom w:val="single" w:sz="12" w:space="0" w:color="000000"/>
            </w:tcBorders>
            <w:vAlign w:val="bottom"/>
          </w:tcPr>
          <w:p>
            <w:pPr>
              <w:pStyle w:val="TableContents"/>
              <w:bidi w:val="0"/>
              <w:spacing w:before="0" w:after="283"/>
              <w:jc w:val="left"/>
              <w:rPr/>
            </w:pPr>
            <w:r>
              <w:rPr/>
              <w:t> </w:t>
            </w:r>
          </w:p>
        </w:tc>
        <w:tc>
          <w:tcPr>
            <w:tcW w:w="959" w:type="dxa"/>
            <w:tcBorders>
              <w:bottom w:val="single" w:sz="12" w:space="0" w:color="000000"/>
            </w:tcBorders>
            <w:vAlign w:val="bottom"/>
          </w:tcPr>
          <w:p>
            <w:pPr>
              <w:pStyle w:val="TableContents"/>
              <w:bidi w:val="0"/>
              <w:spacing w:before="0" w:after="0"/>
              <w:jc w:val="right"/>
              <w:rPr>
                <w:sz w:val="20"/>
              </w:rPr>
            </w:pPr>
            <w:r>
              <w:rPr>
                <w:sz w:val="20"/>
              </w:rPr>
              <w:t>10,023,615</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51" w:type="dxa"/>
            <w:tcBorders>
              <w:bottom w:val="single" w:sz="12" w:space="0" w:color="000000"/>
            </w:tcBorders>
            <w:vAlign w:val="bottom"/>
          </w:tcPr>
          <w:p>
            <w:pPr>
              <w:pStyle w:val="TableContents"/>
              <w:bidi w:val="0"/>
              <w:spacing w:before="0" w:after="283"/>
              <w:jc w:val="left"/>
              <w:rPr/>
            </w:pPr>
            <w:r>
              <w:rPr/>
              <w:t> </w:t>
            </w:r>
          </w:p>
        </w:tc>
        <w:tc>
          <w:tcPr>
            <w:tcW w:w="1639" w:type="dxa"/>
            <w:tcBorders>
              <w:bottom w:val="single" w:sz="12" w:space="0" w:color="000000"/>
            </w:tcBorders>
            <w:vAlign w:val="bottom"/>
          </w:tcPr>
          <w:p>
            <w:pPr>
              <w:pStyle w:val="TableContents"/>
              <w:bidi w:val="0"/>
              <w:spacing w:before="0" w:after="283"/>
              <w:jc w:val="right"/>
              <w:rPr/>
            </w:pPr>
            <w:r>
              <w:rPr/>
              <w:t> </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26" w:type="dxa"/>
            <w:tcBorders>
              <w:bottom w:val="single" w:sz="12" w:space="0" w:color="000000"/>
            </w:tcBorders>
            <w:vAlign w:val="bottom"/>
          </w:tcPr>
          <w:p>
            <w:pPr>
              <w:pStyle w:val="TableContents"/>
              <w:bidi w:val="0"/>
              <w:spacing w:before="0" w:after="283"/>
              <w:jc w:val="left"/>
              <w:rPr/>
            </w:pPr>
            <w:r>
              <w:rPr/>
              <w:t> </w:t>
            </w:r>
          </w:p>
        </w:tc>
        <w:tc>
          <w:tcPr>
            <w:tcW w:w="1834" w:type="dxa"/>
            <w:tcBorders>
              <w:bottom w:val="single" w:sz="12" w:space="0" w:color="000000"/>
            </w:tcBorders>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0"/>
              <w:jc w:val="center"/>
              <w:rPr>
                <w:sz w:val="20"/>
              </w:rPr>
            </w:pPr>
            <w:r>
              <w:rPr>
                <w:sz w:val="20"/>
              </w:rPr>
              <w:t>[Note 3]</w:t>
            </w:r>
          </w:p>
        </w:tc>
        <w:tc>
          <w:tcPr>
            <w:tcW w:w="60" w:type="dxa"/>
            <w:tcBorders>
              <w:bottom w:val="single" w:sz="12" w:space="0" w:color="000000"/>
            </w:tcBorders>
            <w:vAlign w:val="bottom"/>
          </w:tcPr>
          <w:p>
            <w:pPr>
              <w:pStyle w:val="TableContents"/>
              <w:bidi w:val="0"/>
              <w:spacing w:before="0" w:after="0"/>
              <w:jc w:val="left"/>
              <w:rPr>
                <w:sz w:val="20"/>
              </w:rPr>
            </w:pPr>
            <w:r>
              <w:rPr>
                <w:sz w:val="20"/>
              </w:rPr>
            </w:r>
          </w:p>
        </w:tc>
        <w:tc>
          <w:tcPr>
            <w:tcW w:w="60" w:type="dxa"/>
            <w:tcBorders>
              <w:bottom w:val="single" w:sz="12" w:space="0" w:color="000000"/>
            </w:tcBorders>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1055" w:type="dxa"/>
            <w:tcBorders>
              <w:bottom w:val="single" w:sz="12" w:space="0" w:color="000000"/>
            </w:tcBorders>
            <w:vAlign w:val="bottom"/>
          </w:tcPr>
          <w:p>
            <w:pPr>
              <w:pStyle w:val="TableContents"/>
              <w:bidi w:val="0"/>
              <w:spacing w:before="0" w:after="0"/>
              <w:jc w:val="right"/>
              <w:rPr>
                <w:sz w:val="20"/>
              </w:rPr>
            </w:pPr>
            <w:r>
              <w:rPr>
                <w:sz w:val="20"/>
              </w:rPr>
              <w:t>105,795,111</w:t>
            </w:r>
          </w:p>
        </w:tc>
        <w:tc>
          <w:tcPr>
            <w:tcW w:w="80" w:type="dxa"/>
            <w:tcBorders/>
            <w:tcMar>
              <w:bottom w:w="0" w:type="dxa"/>
            </w:tcMar>
            <w:vAlign w:val="bottom"/>
          </w:tcPr>
          <w:p>
            <w:pPr>
              <w:pStyle w:val="TableContents"/>
              <w:bidi w:val="0"/>
              <w:spacing w:before="0" w:after="283"/>
              <w:jc w:val="left"/>
              <w:rPr/>
            </w:pPr>
            <w:r>
              <w:rPr/>
              <w:t> </w:t>
            </w:r>
          </w:p>
        </w:tc>
      </w:tr>
      <w:tr>
        <w:trPr/>
        <w:tc>
          <w:tcPr>
            <w:tcW w:w="6455" w:type="dxa"/>
            <w:tcBorders>
              <w:bottom w:val="single" w:sz="12" w:space="0" w:color="000000"/>
            </w:tcBorders>
            <w:shd w:fill="CCEEFF" w:val="clear"/>
            <w:vAlign w:val="bottom"/>
          </w:tcPr>
          <w:p>
            <w:pPr>
              <w:pStyle w:val="TableContents"/>
              <w:bidi w:val="0"/>
              <w:spacing w:before="0" w:after="0"/>
              <w:jc w:val="left"/>
              <w:rPr>
                <w:b/>
                <w:sz w:val="20"/>
              </w:rPr>
            </w:pPr>
            <w:r>
              <w:rPr>
                <w:b/>
                <w:sz w:val="20"/>
              </w:rPr>
              <w:t>Other comprehensive loss:</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34" w:type="dxa"/>
            <w:tcBorders>
              <w:bottom w:val="single" w:sz="12" w:space="0" w:color="000000"/>
            </w:tcBorders>
            <w:shd w:fill="CCEEFF" w:val="clear"/>
            <w:vAlign w:val="bottom"/>
          </w:tcPr>
          <w:p>
            <w:pPr>
              <w:pStyle w:val="TableContents"/>
              <w:bidi w:val="0"/>
              <w:spacing w:before="0" w:after="283"/>
              <w:jc w:val="left"/>
              <w:rPr/>
            </w:pPr>
            <w:r>
              <w:rPr/>
              <w:t> </w:t>
            </w:r>
          </w:p>
        </w:tc>
        <w:tc>
          <w:tcPr>
            <w:tcW w:w="1781" w:type="dxa"/>
            <w:tcBorders>
              <w:bottom w:val="single" w:sz="12" w:space="0" w:color="000000"/>
            </w:tcBorders>
            <w:shd w:fill="CCEEFF" w:val="clear"/>
            <w:vAlign w:val="bottom"/>
          </w:tcPr>
          <w:p>
            <w:pPr>
              <w:pStyle w:val="TableContents"/>
              <w:bidi w:val="0"/>
              <w:spacing w:before="0" w:after="283"/>
              <w:jc w:val="right"/>
              <w:rPr/>
            </w:pPr>
            <w:r>
              <w:rPr/>
              <w:t> </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vAlign w:val="bottom"/>
          </w:tcPr>
          <w:p>
            <w:pPr>
              <w:pStyle w:val="TableContents"/>
              <w:bidi w:val="0"/>
              <w:spacing w:before="0" w:after="283"/>
              <w:jc w:val="left"/>
              <w:rPr/>
            </w:pPr>
            <w:r>
              <w:rPr/>
              <w:t> </w:t>
            </w:r>
          </w:p>
        </w:tc>
        <w:tc>
          <w:tcPr>
            <w:tcW w:w="959" w:type="dxa"/>
            <w:tcBorders>
              <w:bottom w:val="single" w:sz="12" w:space="0" w:color="000000"/>
            </w:tcBorders>
            <w:shd w:fill="CCEEFF" w:val="clear"/>
            <w:vAlign w:val="bottom"/>
          </w:tcPr>
          <w:p>
            <w:pPr>
              <w:pStyle w:val="TableContents"/>
              <w:bidi w:val="0"/>
              <w:spacing w:before="0" w:after="283"/>
              <w:jc w:val="right"/>
              <w:rPr/>
            </w:pPr>
            <w:r>
              <w:rPr/>
              <w:t> </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vAlign w:val="bottom"/>
          </w:tcPr>
          <w:p>
            <w:pPr>
              <w:pStyle w:val="TableContents"/>
              <w:bidi w:val="0"/>
              <w:spacing w:before="0" w:after="283"/>
              <w:jc w:val="left"/>
              <w:rPr/>
            </w:pPr>
            <w:r>
              <w:rPr/>
              <w:t> </w:t>
            </w:r>
          </w:p>
        </w:tc>
        <w:tc>
          <w:tcPr>
            <w:tcW w:w="1639" w:type="dxa"/>
            <w:tcBorders>
              <w:bottom w:val="single" w:sz="12" w:space="0" w:color="000000"/>
            </w:tcBorders>
            <w:shd w:fill="CCEEFF" w:val="clear"/>
            <w:vAlign w:val="bottom"/>
          </w:tcPr>
          <w:p>
            <w:pPr>
              <w:pStyle w:val="TableContents"/>
              <w:bidi w:val="0"/>
              <w:spacing w:before="0" w:after="283"/>
              <w:jc w:val="right"/>
              <w:rPr/>
            </w:pPr>
            <w:r>
              <w:rPr/>
              <w:t> </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vAlign w:val="bottom"/>
          </w:tcPr>
          <w:p>
            <w:pPr>
              <w:pStyle w:val="TableContents"/>
              <w:bidi w:val="0"/>
              <w:spacing w:before="0" w:after="283"/>
              <w:jc w:val="left"/>
              <w:rPr/>
            </w:pPr>
            <w:r>
              <w:rPr/>
              <w:t> </w:t>
            </w:r>
          </w:p>
        </w:tc>
        <w:tc>
          <w:tcPr>
            <w:tcW w:w="1834"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1055" w:type="dxa"/>
            <w:tcBorders>
              <w:bottom w:val="single" w:sz="12" w:space="0" w:color="000000"/>
            </w:tcBorders>
            <w:shd w:fill="CCEEFF" w:val="clear"/>
            <w:vAlign w:val="bottom"/>
          </w:tcPr>
          <w:p>
            <w:pPr>
              <w:pStyle w:val="TableContents"/>
              <w:bidi w:val="0"/>
              <w:spacing w:before="0" w:after="283"/>
              <w:jc w:val="right"/>
              <w:rPr/>
            </w:pPr>
            <w:r>
              <w:rPr/>
              <w:t> </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6455" w:type="dxa"/>
            <w:tcBorders/>
            <w:tcMar>
              <w:bottom w:w="0" w:type="dxa"/>
            </w:tcMar>
            <w:vAlign w:val="bottom"/>
          </w:tcPr>
          <w:p>
            <w:pPr>
              <w:pStyle w:val="TableContents"/>
              <w:bidi w:val="0"/>
              <w:spacing w:before="0" w:after="0"/>
              <w:jc w:val="left"/>
              <w:rPr>
                <w:b/>
                <w:sz w:val="20"/>
              </w:rPr>
            </w:pPr>
            <w:r>
              <w:rPr>
                <w:b/>
                <w:sz w:val="20"/>
              </w:rPr>
              <w:t>Net loss from operations</w:t>
            </w:r>
          </w:p>
        </w:tc>
        <w:tc>
          <w:tcPr>
            <w:tcW w:w="60" w:type="dxa"/>
            <w:tcBorders/>
            <w:tcMar>
              <w:bottom w:w="0" w:type="dxa"/>
            </w:tcMar>
            <w:vAlign w:val="bottom"/>
          </w:tcPr>
          <w:p>
            <w:pPr>
              <w:pStyle w:val="TableContents"/>
              <w:bidi w:val="0"/>
              <w:spacing w:before="0" w:after="283"/>
              <w:jc w:val="left"/>
              <w:rPr/>
            </w:pPr>
            <w:r>
              <w:rPr/>
              <w:t> </w:t>
            </w:r>
          </w:p>
        </w:tc>
        <w:tc>
          <w:tcPr>
            <w:tcW w:w="234" w:type="dxa"/>
            <w:tcBorders/>
            <w:tcMar>
              <w:bottom w:w="0" w:type="dxa"/>
            </w:tcMar>
            <w:vAlign w:val="bottom"/>
          </w:tcPr>
          <w:p>
            <w:pPr>
              <w:pStyle w:val="TableContents"/>
              <w:bidi w:val="0"/>
              <w:spacing w:before="0" w:after="283"/>
              <w:jc w:val="left"/>
              <w:rPr/>
            </w:pPr>
            <w:r>
              <w:rPr/>
              <w:t> </w:t>
            </w:r>
          </w:p>
        </w:tc>
        <w:tc>
          <w:tcPr>
            <w:tcW w:w="1781" w:type="dxa"/>
            <w:tcBorders/>
            <w:tcMar>
              <w:bottom w:w="0" w:type="dxa"/>
            </w:tcMar>
            <w:vAlign w:val="bottom"/>
          </w:tcPr>
          <w:p>
            <w:pPr>
              <w:pStyle w:val="TableContents"/>
              <w:bidi w:val="0"/>
              <w:spacing w:before="0" w:after="0"/>
              <w:jc w:val="right"/>
              <w:rPr>
                <w:b/>
                <w:sz w:val="20"/>
              </w:rPr>
            </w:pPr>
            <w:r>
              <w:rPr>
                <w:b/>
                <w:sz w:val="20"/>
              </w:rPr>
              <w:t>(9,858</w:t>
            </w:r>
          </w:p>
        </w:tc>
        <w:tc>
          <w:tcPr>
            <w:tcW w:w="80" w:type="dxa"/>
            <w:tcBorders/>
            <w:tcMar>
              <w:bottom w:w="0" w:type="dxa"/>
            </w:tcMar>
            <w:vAlign w:val="bottom"/>
          </w:tcPr>
          <w:p>
            <w:pPr>
              <w:pStyle w:val="TableContents"/>
              <w:bidi w:val="0"/>
              <w:spacing w:before="0" w:after="0"/>
              <w:jc w:val="left"/>
              <w:rPr>
                <w:b/>
                <w:sz w:val="20"/>
              </w:rPr>
            </w:pPr>
            <w:r>
              <w:rPr>
                <w:b/>
                <w:sz w:val="20"/>
              </w:rPr>
              <w:t>)</w:t>
            </w:r>
          </w:p>
        </w:tc>
        <w:tc>
          <w:tcPr>
            <w:tcW w:w="60" w:type="dxa"/>
            <w:tcBorders/>
            <w:tcMar>
              <w:bottom w:w="0" w:type="dxa"/>
            </w:tcMar>
            <w:vAlign w:val="bottom"/>
          </w:tcPr>
          <w:p>
            <w:pPr>
              <w:pStyle w:val="TableContents"/>
              <w:bidi w:val="0"/>
              <w:spacing w:before="0" w:after="283"/>
              <w:jc w:val="left"/>
              <w:rPr/>
            </w:pPr>
            <w:r>
              <w:rPr/>
              <w:t> </w:t>
            </w:r>
          </w:p>
        </w:tc>
        <w:tc>
          <w:tcPr>
            <w:tcW w:w="126" w:type="dxa"/>
            <w:tcBorders/>
            <w:tcMar>
              <w:bottom w:w="0" w:type="dxa"/>
            </w:tcMar>
            <w:vAlign w:val="bottom"/>
          </w:tcPr>
          <w:p>
            <w:pPr>
              <w:pStyle w:val="TableContents"/>
              <w:bidi w:val="0"/>
              <w:spacing w:before="0" w:after="283"/>
              <w:jc w:val="left"/>
              <w:rPr/>
            </w:pPr>
            <w:r>
              <w:rPr/>
              <w:t> </w:t>
            </w:r>
          </w:p>
        </w:tc>
        <w:tc>
          <w:tcPr>
            <w:tcW w:w="959" w:type="dxa"/>
            <w:tcBorders/>
            <w:tcMar>
              <w:bottom w:w="0" w:type="dxa"/>
            </w:tcMar>
            <w:vAlign w:val="bottom"/>
          </w:tcPr>
          <w:p>
            <w:pPr>
              <w:pStyle w:val="TableContents"/>
              <w:bidi w:val="0"/>
              <w:spacing w:before="0" w:after="0"/>
              <w:jc w:val="right"/>
              <w:rPr>
                <w:b/>
                <w:sz w:val="20"/>
              </w:rPr>
            </w:pPr>
            <w:r>
              <w:rPr>
                <w:b/>
                <w:sz w:val="20"/>
              </w:rPr>
              <w:t>(8,719</w:t>
            </w:r>
          </w:p>
        </w:tc>
        <w:tc>
          <w:tcPr>
            <w:tcW w:w="80" w:type="dxa"/>
            <w:tcBorders/>
            <w:tcMar>
              <w:bottom w:w="0" w:type="dxa"/>
            </w:tcMar>
            <w:vAlign w:val="bottom"/>
          </w:tcPr>
          <w:p>
            <w:pPr>
              <w:pStyle w:val="TableContents"/>
              <w:bidi w:val="0"/>
              <w:spacing w:before="0" w:after="0"/>
              <w:jc w:val="left"/>
              <w:rPr>
                <w:b/>
                <w:sz w:val="20"/>
              </w:rPr>
            </w:pPr>
            <w:r>
              <w:rPr>
                <w:b/>
                <w:sz w:val="20"/>
              </w:rPr>
              <w:t>)</w:t>
            </w:r>
          </w:p>
        </w:tc>
        <w:tc>
          <w:tcPr>
            <w:tcW w:w="60" w:type="dxa"/>
            <w:tcBorders/>
            <w:tcMar>
              <w:bottom w:w="0" w:type="dxa"/>
            </w:tcMar>
            <w:vAlign w:val="bottom"/>
          </w:tcPr>
          <w:p>
            <w:pPr>
              <w:pStyle w:val="TableContents"/>
              <w:bidi w:val="0"/>
              <w:spacing w:before="0" w:after="283"/>
              <w:jc w:val="left"/>
              <w:rPr/>
            </w:pPr>
            <w:r>
              <w:rPr/>
              <w:t> </w:t>
            </w:r>
          </w:p>
        </w:tc>
        <w:tc>
          <w:tcPr>
            <w:tcW w:w="151" w:type="dxa"/>
            <w:tcBorders/>
            <w:tcMar>
              <w:bottom w:w="0" w:type="dxa"/>
            </w:tcMar>
            <w:vAlign w:val="bottom"/>
          </w:tcPr>
          <w:p>
            <w:pPr>
              <w:pStyle w:val="TableContents"/>
              <w:bidi w:val="0"/>
              <w:spacing w:before="0" w:after="283"/>
              <w:jc w:val="left"/>
              <w:rPr/>
            </w:pPr>
            <w:r>
              <w:rPr/>
              <w:t> </w:t>
            </w:r>
          </w:p>
        </w:tc>
        <w:tc>
          <w:tcPr>
            <w:tcW w:w="1639" w:type="dxa"/>
            <w:tcBorders/>
            <w:tcMar>
              <w:bottom w:w="0" w:type="dxa"/>
            </w:tcMar>
            <w:vAlign w:val="bottom"/>
          </w:tcPr>
          <w:p>
            <w:pPr>
              <w:pStyle w:val="TableContents"/>
              <w:bidi w:val="0"/>
              <w:spacing w:before="0" w:after="0"/>
              <w:jc w:val="right"/>
              <w:rPr>
                <w:b/>
                <w:sz w:val="20"/>
              </w:rPr>
            </w:pPr>
            <w:r>
              <w:rPr>
                <w:b/>
                <w:sz w:val="20"/>
              </w:rPr>
              <w:t>(18,577</w:t>
            </w:r>
          </w:p>
        </w:tc>
        <w:tc>
          <w:tcPr>
            <w:tcW w:w="80" w:type="dxa"/>
            <w:tcBorders/>
            <w:tcMar>
              <w:bottom w:w="0" w:type="dxa"/>
            </w:tcMar>
            <w:vAlign w:val="bottom"/>
          </w:tcPr>
          <w:p>
            <w:pPr>
              <w:pStyle w:val="TableContents"/>
              <w:bidi w:val="0"/>
              <w:spacing w:before="0" w:after="0"/>
              <w:jc w:val="left"/>
              <w:rPr>
                <w:b/>
                <w:sz w:val="20"/>
              </w:rPr>
            </w:pPr>
            <w:r>
              <w:rPr>
                <w:b/>
                <w:sz w:val="20"/>
              </w:rPr>
              <w:t>)</w:t>
            </w:r>
          </w:p>
        </w:tc>
        <w:tc>
          <w:tcPr>
            <w:tcW w:w="60" w:type="dxa"/>
            <w:tcBorders/>
            <w:tcMar>
              <w:bottom w:w="0" w:type="dxa"/>
            </w:tcMar>
            <w:vAlign w:val="bottom"/>
          </w:tcPr>
          <w:p>
            <w:pPr>
              <w:pStyle w:val="TableContents"/>
              <w:bidi w:val="0"/>
              <w:spacing w:before="0" w:after="283"/>
              <w:jc w:val="left"/>
              <w:rPr/>
            </w:pPr>
            <w:r>
              <w:rPr/>
              <w:t> </w:t>
            </w:r>
          </w:p>
        </w:tc>
        <w:tc>
          <w:tcPr>
            <w:tcW w:w="226" w:type="dxa"/>
            <w:tcBorders/>
            <w:tcMar>
              <w:bottom w:w="0" w:type="dxa"/>
            </w:tcMar>
            <w:vAlign w:val="bottom"/>
          </w:tcPr>
          <w:p>
            <w:pPr>
              <w:pStyle w:val="TableContents"/>
              <w:bidi w:val="0"/>
              <w:spacing w:before="0" w:after="283"/>
              <w:jc w:val="left"/>
              <w:rPr/>
            </w:pPr>
            <w:r>
              <w:rPr/>
              <w:t> </w:t>
            </w:r>
          </w:p>
        </w:tc>
        <w:tc>
          <w:tcPr>
            <w:tcW w:w="1834" w:type="dxa"/>
            <w:tcBorders/>
            <w:tcMar>
              <w:bottom w:w="0" w:type="dxa"/>
            </w:tcMar>
            <w:vAlign w:val="bottom"/>
          </w:tcPr>
          <w:p>
            <w:pPr>
              <w:pStyle w:val="TableContents"/>
              <w:bidi w:val="0"/>
              <w:spacing w:before="0" w:after="0"/>
              <w:jc w:val="right"/>
              <w:rPr>
                <w:b/>
                <w:sz w:val="20"/>
              </w:rPr>
            </w:pPr>
            <w:r>
              <w:rPr>
                <w:b/>
                <w:sz w:val="2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0"/>
              <w:jc w:val="right"/>
              <w:rPr>
                <w:b/>
                <w:sz w:val="20"/>
              </w:rPr>
            </w:pPr>
            <w:r>
              <w:rPr>
                <w:b/>
                <w:sz w:val="20"/>
              </w:rPr>
              <w:t>(18,577</w:t>
            </w:r>
          </w:p>
        </w:tc>
        <w:tc>
          <w:tcPr>
            <w:tcW w:w="80" w:type="dxa"/>
            <w:tcBorders/>
            <w:tcMar>
              <w:bottom w:w="0" w:type="dxa"/>
            </w:tcMar>
            <w:vAlign w:val="bottom"/>
          </w:tcPr>
          <w:p>
            <w:pPr>
              <w:pStyle w:val="TableContents"/>
              <w:bidi w:val="0"/>
              <w:spacing w:before="0" w:after="0"/>
              <w:jc w:val="left"/>
              <w:rPr>
                <w:b/>
                <w:sz w:val="20"/>
              </w:rPr>
            </w:pPr>
            <w:r>
              <w:rPr>
                <w:b/>
                <w:sz w:val="20"/>
              </w:rPr>
              <w:t>)</w:t>
            </w:r>
          </w:p>
        </w:tc>
      </w:tr>
      <w:tr>
        <w:trPr/>
        <w:tc>
          <w:tcPr>
            <w:tcW w:w="6455" w:type="dxa"/>
            <w:tcBorders/>
            <w:shd w:fill="CCEEFF" w:val="clear"/>
            <w:tcMar>
              <w:bottom w:w="0" w:type="dxa"/>
            </w:tcMar>
            <w:vAlign w:val="bottom"/>
          </w:tcPr>
          <w:p>
            <w:pPr>
              <w:pStyle w:val="TableContents"/>
              <w:bidi w:val="0"/>
              <w:spacing w:before="0" w:after="0"/>
              <w:jc w:val="left"/>
              <w:rPr>
                <w:sz w:val="20"/>
              </w:rPr>
            </w:pPr>
            <w:r>
              <w:rPr>
                <w:sz w:val="20"/>
              </w:rPr>
              <w:t>Foreign currency translation adjustments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34" w:type="dxa"/>
            <w:tcBorders/>
            <w:shd w:fill="CCEEFF" w:val="clear"/>
            <w:tcMar>
              <w:bottom w:w="0" w:type="dxa"/>
            </w:tcMar>
            <w:vAlign w:val="bottom"/>
          </w:tcPr>
          <w:p>
            <w:pPr>
              <w:pStyle w:val="TableContents"/>
              <w:bidi w:val="0"/>
              <w:spacing w:before="0" w:after="283"/>
              <w:jc w:val="left"/>
              <w:rPr/>
            </w:pPr>
            <w:r>
              <w:rPr/>
              <w:t> </w:t>
            </w:r>
          </w:p>
        </w:tc>
        <w:tc>
          <w:tcPr>
            <w:tcW w:w="1781" w:type="dxa"/>
            <w:tcBorders/>
            <w:shd w:fill="CCEEFF" w:val="clear"/>
            <w:tcMar>
              <w:bottom w:w="0" w:type="dxa"/>
            </w:tcMar>
            <w:vAlign w:val="bottom"/>
          </w:tcPr>
          <w:p>
            <w:pPr>
              <w:pStyle w:val="TableContents"/>
              <w:bidi w:val="0"/>
              <w:spacing w:before="0" w:after="0"/>
              <w:jc w:val="right"/>
              <w:rPr>
                <w:sz w:val="20"/>
              </w:rPr>
            </w:pPr>
            <w:r>
              <w:rPr>
                <w:sz w:val="20"/>
              </w:rPr>
              <w:t>1,957</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6" w:type="dxa"/>
            <w:tcBorders/>
            <w:shd w:fill="CCEEFF" w:val="clear"/>
            <w:tcMar>
              <w:bottom w:w="0" w:type="dxa"/>
            </w:tcMar>
            <w:vAlign w:val="bottom"/>
          </w:tcPr>
          <w:p>
            <w:pPr>
              <w:pStyle w:val="TableContents"/>
              <w:bidi w:val="0"/>
              <w:spacing w:before="0" w:after="283"/>
              <w:jc w:val="left"/>
              <w:rPr/>
            </w:pPr>
            <w:r>
              <w:rPr/>
              <w:t> </w:t>
            </w:r>
          </w:p>
        </w:tc>
        <w:tc>
          <w:tcPr>
            <w:tcW w:w="959" w:type="dxa"/>
            <w:tcBorders/>
            <w:shd w:fill="CCEEFF" w:val="clear"/>
            <w:tcMar>
              <w:bottom w:w="0" w:type="dxa"/>
            </w:tcMar>
            <w:vAlign w:val="bottom"/>
          </w:tcPr>
          <w:p>
            <w:pPr>
              <w:pStyle w:val="TableContents"/>
              <w:bidi w:val="0"/>
              <w:spacing w:before="0" w:after="0"/>
              <w:jc w:val="right"/>
              <w:rPr>
                <w:sz w:val="20"/>
              </w:rPr>
            </w:pPr>
            <w:r>
              <w:rPr>
                <w:sz w:val="20"/>
              </w:rPr>
              <w:t>222</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1639" w:type="dxa"/>
            <w:tcBorders/>
            <w:shd w:fill="CCEEFF" w:val="clear"/>
            <w:tcMar>
              <w:bottom w:w="0" w:type="dxa"/>
            </w:tcMar>
            <w:vAlign w:val="bottom"/>
          </w:tcPr>
          <w:p>
            <w:pPr>
              <w:pStyle w:val="TableContents"/>
              <w:bidi w:val="0"/>
              <w:spacing w:before="0" w:after="0"/>
              <w:jc w:val="right"/>
              <w:rPr>
                <w:sz w:val="20"/>
              </w:rPr>
            </w:pPr>
            <w:r>
              <w:rPr>
                <w:sz w:val="20"/>
              </w:rPr>
              <w:t>2,179</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0"/>
              <w:jc w:val="right"/>
              <w:rPr>
                <w:sz w:val="20"/>
              </w:rPr>
            </w:pPr>
            <w:r>
              <w:rPr>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sz w:val="20"/>
              </w:rPr>
            </w:pPr>
            <w:r>
              <w:rPr>
                <w:sz w:val="20"/>
              </w:rPr>
              <w:t>2,179</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6455" w:type="dxa"/>
            <w:tcBorders/>
            <w:tcMar>
              <w:bottom w:w="0" w:type="dxa"/>
            </w:tcMar>
            <w:vAlign w:val="bottom"/>
          </w:tcPr>
          <w:p>
            <w:pPr>
              <w:pStyle w:val="TableContents"/>
              <w:bidi w:val="0"/>
              <w:spacing w:before="0" w:after="0"/>
              <w:jc w:val="left"/>
              <w:rPr>
                <w:sz w:val="20"/>
              </w:rPr>
            </w:pPr>
            <w:r>
              <w:rPr>
                <w:sz w:val="20"/>
              </w:rPr>
              <w:t>Unrealized loss on short-term investments</w:t>
            </w:r>
          </w:p>
        </w:tc>
        <w:tc>
          <w:tcPr>
            <w:tcW w:w="60" w:type="dxa"/>
            <w:tcBorders/>
            <w:tcMar>
              <w:bottom w:w="0" w:type="dxa"/>
            </w:tcMar>
            <w:vAlign w:val="bottom"/>
          </w:tcPr>
          <w:p>
            <w:pPr>
              <w:pStyle w:val="TableContents"/>
              <w:bidi w:val="0"/>
              <w:spacing w:before="0" w:after="283"/>
              <w:jc w:val="left"/>
              <w:rPr/>
            </w:pPr>
            <w:r>
              <w:rPr/>
              <w:t> </w:t>
            </w:r>
          </w:p>
        </w:tc>
        <w:tc>
          <w:tcPr>
            <w:tcW w:w="234" w:type="dxa"/>
            <w:tcBorders/>
            <w:tcMar>
              <w:bottom w:w="0" w:type="dxa"/>
            </w:tcMar>
            <w:vAlign w:val="bottom"/>
          </w:tcPr>
          <w:p>
            <w:pPr>
              <w:pStyle w:val="TableContents"/>
              <w:bidi w:val="0"/>
              <w:spacing w:before="0" w:after="283"/>
              <w:jc w:val="left"/>
              <w:rPr/>
            </w:pPr>
            <w:r>
              <w:rPr/>
              <w:t> </w:t>
            </w:r>
          </w:p>
        </w:tc>
        <w:tc>
          <w:tcPr>
            <w:tcW w:w="1781" w:type="dxa"/>
            <w:tcBorders/>
            <w:tcMar>
              <w:bottom w:w="0" w:type="dxa"/>
            </w:tcMar>
            <w:vAlign w:val="bottom"/>
          </w:tcPr>
          <w:p>
            <w:pPr>
              <w:pStyle w:val="TableContents"/>
              <w:bidi w:val="0"/>
              <w:spacing w:before="0" w:after="0"/>
              <w:jc w:val="right"/>
              <w:rPr>
                <w:sz w:val="20"/>
              </w:rPr>
            </w:pPr>
            <w:r>
              <w:rPr>
                <w:sz w:val="20"/>
              </w:rPr>
              <w:t>-</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6" w:type="dxa"/>
            <w:tcBorders/>
            <w:tcMar>
              <w:bottom w:w="0" w:type="dxa"/>
            </w:tcMar>
            <w:vAlign w:val="bottom"/>
          </w:tcPr>
          <w:p>
            <w:pPr>
              <w:pStyle w:val="TableContents"/>
              <w:bidi w:val="0"/>
              <w:spacing w:before="0" w:after="283"/>
              <w:jc w:val="left"/>
              <w:rPr/>
            </w:pPr>
            <w:r>
              <w:rPr/>
              <w:t> </w:t>
            </w:r>
          </w:p>
        </w:tc>
        <w:tc>
          <w:tcPr>
            <w:tcW w:w="959" w:type="dxa"/>
            <w:tcBorders/>
            <w:tcMar>
              <w:bottom w:w="0" w:type="dxa"/>
            </w:tcMar>
            <w:vAlign w:val="bottom"/>
          </w:tcPr>
          <w:p>
            <w:pPr>
              <w:pStyle w:val="TableContents"/>
              <w:bidi w:val="0"/>
              <w:spacing w:before="0" w:after="0"/>
              <w:jc w:val="right"/>
              <w:rPr>
                <w:sz w:val="20"/>
              </w:rPr>
            </w:pPr>
            <w:r>
              <w:rPr>
                <w:sz w:val="20"/>
              </w:rPr>
              <w:t>(51</w:t>
            </w:r>
          </w:p>
        </w:tc>
        <w:tc>
          <w:tcPr>
            <w:tcW w:w="80" w:type="dxa"/>
            <w:tcBorders/>
            <w:tcMar>
              <w:bottom w:w="0" w:type="dxa"/>
            </w:tcMar>
            <w:vAlign w:val="bottom"/>
          </w:tcPr>
          <w:p>
            <w:pPr>
              <w:pStyle w:val="TableContents"/>
              <w:bidi w:val="0"/>
              <w:spacing w:before="0" w:after="0"/>
              <w:jc w:val="left"/>
              <w:rPr>
                <w:sz w:val="20"/>
              </w:rPr>
            </w:pPr>
            <w:r>
              <w:rPr>
                <w:sz w:val="20"/>
              </w:rPr>
              <w:t>)</w:t>
            </w:r>
          </w:p>
        </w:tc>
        <w:tc>
          <w:tcPr>
            <w:tcW w:w="60" w:type="dxa"/>
            <w:tcBorders/>
            <w:tcMar>
              <w:bottom w:w="0" w:type="dxa"/>
            </w:tcMar>
            <w:vAlign w:val="bottom"/>
          </w:tcPr>
          <w:p>
            <w:pPr>
              <w:pStyle w:val="TableContents"/>
              <w:bidi w:val="0"/>
              <w:spacing w:before="0" w:after="283"/>
              <w:jc w:val="left"/>
              <w:rPr/>
            </w:pPr>
            <w:r>
              <w:rPr/>
              <w:t> </w:t>
            </w:r>
          </w:p>
        </w:tc>
        <w:tc>
          <w:tcPr>
            <w:tcW w:w="151" w:type="dxa"/>
            <w:tcBorders/>
            <w:tcMar>
              <w:bottom w:w="0" w:type="dxa"/>
            </w:tcMar>
            <w:vAlign w:val="bottom"/>
          </w:tcPr>
          <w:p>
            <w:pPr>
              <w:pStyle w:val="TableContents"/>
              <w:bidi w:val="0"/>
              <w:spacing w:before="0" w:after="283"/>
              <w:jc w:val="left"/>
              <w:rPr/>
            </w:pPr>
            <w:r>
              <w:rPr/>
              <w:t> </w:t>
            </w:r>
          </w:p>
        </w:tc>
        <w:tc>
          <w:tcPr>
            <w:tcW w:w="1639" w:type="dxa"/>
            <w:tcBorders/>
            <w:tcMar>
              <w:bottom w:w="0" w:type="dxa"/>
            </w:tcMar>
            <w:vAlign w:val="bottom"/>
          </w:tcPr>
          <w:p>
            <w:pPr>
              <w:pStyle w:val="TableContents"/>
              <w:bidi w:val="0"/>
              <w:spacing w:before="0" w:after="0"/>
              <w:jc w:val="right"/>
              <w:rPr>
                <w:sz w:val="20"/>
              </w:rPr>
            </w:pPr>
            <w:r>
              <w:rPr>
                <w:sz w:val="20"/>
              </w:rPr>
              <w:t>(51</w:t>
            </w:r>
          </w:p>
        </w:tc>
        <w:tc>
          <w:tcPr>
            <w:tcW w:w="80" w:type="dxa"/>
            <w:tcBorders/>
            <w:tcMar>
              <w:bottom w:w="0" w:type="dxa"/>
            </w:tcMar>
            <w:vAlign w:val="bottom"/>
          </w:tcPr>
          <w:p>
            <w:pPr>
              <w:pStyle w:val="TableContents"/>
              <w:bidi w:val="0"/>
              <w:spacing w:before="0" w:after="0"/>
              <w:jc w:val="left"/>
              <w:rPr>
                <w:sz w:val="20"/>
              </w:rPr>
            </w:pPr>
            <w:r>
              <w:rPr>
                <w:sz w:val="20"/>
              </w:rPr>
              <w:t>)</w:t>
            </w:r>
          </w:p>
        </w:tc>
        <w:tc>
          <w:tcPr>
            <w:tcW w:w="60" w:type="dxa"/>
            <w:tcBorders/>
            <w:tcMar>
              <w:bottom w:w="0" w:type="dxa"/>
            </w:tcMar>
            <w:vAlign w:val="bottom"/>
          </w:tcPr>
          <w:p>
            <w:pPr>
              <w:pStyle w:val="TableContents"/>
              <w:bidi w:val="0"/>
              <w:spacing w:before="0" w:after="283"/>
              <w:jc w:val="left"/>
              <w:rPr/>
            </w:pPr>
            <w:r>
              <w:rPr/>
              <w:t> </w:t>
            </w:r>
          </w:p>
        </w:tc>
        <w:tc>
          <w:tcPr>
            <w:tcW w:w="226" w:type="dxa"/>
            <w:tcBorders/>
            <w:tcMar>
              <w:bottom w:w="0" w:type="dxa"/>
            </w:tcMar>
            <w:vAlign w:val="bottom"/>
          </w:tcPr>
          <w:p>
            <w:pPr>
              <w:pStyle w:val="TableContents"/>
              <w:bidi w:val="0"/>
              <w:spacing w:before="0" w:after="283"/>
              <w:jc w:val="left"/>
              <w:rPr/>
            </w:pPr>
            <w:r>
              <w:rPr/>
              <w:t> </w:t>
            </w:r>
          </w:p>
        </w:tc>
        <w:tc>
          <w:tcPr>
            <w:tcW w:w="1834" w:type="dxa"/>
            <w:tcBorders/>
            <w:tcMar>
              <w:bottom w:w="0" w:type="dxa"/>
            </w:tcMar>
            <w:vAlign w:val="bottom"/>
          </w:tcPr>
          <w:p>
            <w:pPr>
              <w:pStyle w:val="TableContents"/>
              <w:bidi w:val="0"/>
              <w:spacing w:before="0" w:after="0"/>
              <w:jc w:val="right"/>
              <w:rPr>
                <w:sz w:val="20"/>
              </w:rPr>
            </w:pPr>
            <w:r>
              <w:rPr>
                <w:sz w:val="2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0"/>
              <w:jc w:val="right"/>
              <w:rPr>
                <w:sz w:val="20"/>
              </w:rPr>
            </w:pPr>
            <w:r>
              <w:rPr>
                <w:sz w:val="20"/>
              </w:rPr>
              <w:t>(51</w:t>
            </w:r>
          </w:p>
        </w:tc>
        <w:tc>
          <w:tcPr>
            <w:tcW w:w="80" w:type="dxa"/>
            <w:tcBorders/>
            <w:tcMar>
              <w:bottom w:w="0" w:type="dxa"/>
            </w:tcMar>
            <w:vAlign w:val="bottom"/>
          </w:tcPr>
          <w:p>
            <w:pPr>
              <w:pStyle w:val="TableContents"/>
              <w:bidi w:val="0"/>
              <w:spacing w:before="0" w:after="0"/>
              <w:jc w:val="left"/>
              <w:rPr>
                <w:sz w:val="20"/>
              </w:rPr>
            </w:pPr>
            <w:r>
              <w:rPr>
                <w:sz w:val="20"/>
              </w:rPr>
              <w:t>)</w:t>
            </w:r>
          </w:p>
        </w:tc>
      </w:tr>
      <w:tr>
        <w:trPr/>
        <w:tc>
          <w:tcPr>
            <w:tcW w:w="6455" w:type="dxa"/>
            <w:tcBorders>
              <w:bottom w:val="single" w:sz="12" w:space="0" w:color="000000"/>
            </w:tcBorders>
            <w:shd w:fill="CCEEFF" w:val="clear"/>
            <w:vAlign w:val="bottom"/>
          </w:tcPr>
          <w:p>
            <w:pPr>
              <w:pStyle w:val="TableContents"/>
              <w:bidi w:val="0"/>
              <w:spacing w:before="0" w:after="0"/>
              <w:jc w:val="left"/>
              <w:rPr>
                <w:sz w:val="20"/>
              </w:rPr>
            </w:pPr>
            <w:r>
              <w:rPr>
                <w:sz w:val="20"/>
              </w:rPr>
              <w:t>Reclassification adjustment for realized loss to net loss</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34" w:type="dxa"/>
            <w:tcBorders>
              <w:bottom w:val="single" w:sz="12" w:space="0" w:color="000000"/>
            </w:tcBorders>
            <w:shd w:fill="CCEEFF" w:val="clear"/>
            <w:vAlign w:val="bottom"/>
          </w:tcPr>
          <w:p>
            <w:pPr>
              <w:pStyle w:val="TableContents"/>
              <w:bidi w:val="0"/>
              <w:spacing w:before="0" w:after="283"/>
              <w:jc w:val="left"/>
              <w:rPr/>
            </w:pPr>
            <w:r>
              <w:rPr/>
              <w:t> </w:t>
            </w:r>
          </w:p>
        </w:tc>
        <w:tc>
          <w:tcPr>
            <w:tcW w:w="1781" w:type="dxa"/>
            <w:tcBorders>
              <w:bottom w:val="single" w:sz="12" w:space="0" w:color="000000"/>
            </w:tcBorders>
            <w:shd w:fill="CCEEFF" w:val="clear"/>
            <w:vAlign w:val="bottom"/>
          </w:tcPr>
          <w:p>
            <w:pPr>
              <w:pStyle w:val="TableContents"/>
              <w:bidi w:val="0"/>
              <w:spacing w:before="0" w:after="0"/>
              <w:jc w:val="right"/>
              <w:rPr>
                <w:sz w:val="20"/>
              </w:rPr>
            </w:pPr>
            <w:r>
              <w:rPr>
                <w:sz w:val="20"/>
              </w:rPr>
              <w:t>-</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vAlign w:val="bottom"/>
          </w:tcPr>
          <w:p>
            <w:pPr>
              <w:pStyle w:val="TableContents"/>
              <w:bidi w:val="0"/>
              <w:spacing w:before="0" w:after="283"/>
              <w:jc w:val="left"/>
              <w:rPr/>
            </w:pPr>
            <w:r>
              <w:rPr/>
              <w:t> </w:t>
            </w:r>
          </w:p>
        </w:tc>
        <w:tc>
          <w:tcPr>
            <w:tcW w:w="959" w:type="dxa"/>
            <w:tcBorders>
              <w:bottom w:val="single" w:sz="12" w:space="0" w:color="000000"/>
            </w:tcBorders>
            <w:shd w:fill="CCEEFF" w:val="clear"/>
            <w:vAlign w:val="bottom"/>
          </w:tcPr>
          <w:p>
            <w:pPr>
              <w:pStyle w:val="TableContents"/>
              <w:bidi w:val="0"/>
              <w:spacing w:before="0" w:after="0"/>
              <w:jc w:val="right"/>
              <w:rPr>
                <w:sz w:val="20"/>
              </w:rPr>
            </w:pPr>
            <w:r>
              <w:rPr>
                <w:sz w:val="20"/>
              </w:rPr>
              <w:t>(8</w:t>
            </w:r>
          </w:p>
        </w:tc>
        <w:tc>
          <w:tcPr>
            <w:tcW w:w="80" w:type="dxa"/>
            <w:tcBorders>
              <w:bottom w:val="single" w:sz="12" w:space="0" w:color="000000"/>
            </w:tcBorders>
            <w:shd w:fill="CCEEFF" w:val="clear"/>
            <w:vAlign w:val="bottom"/>
          </w:tcPr>
          <w:p>
            <w:pPr>
              <w:pStyle w:val="TableContents"/>
              <w:bidi w:val="0"/>
              <w:spacing w:before="0" w:after="0"/>
              <w:jc w:val="left"/>
              <w:rPr>
                <w:sz w:val="20"/>
              </w:rPr>
            </w:pPr>
            <w:r>
              <w:rPr>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vAlign w:val="bottom"/>
          </w:tcPr>
          <w:p>
            <w:pPr>
              <w:pStyle w:val="TableContents"/>
              <w:bidi w:val="0"/>
              <w:spacing w:before="0" w:after="283"/>
              <w:jc w:val="left"/>
              <w:rPr/>
            </w:pPr>
            <w:r>
              <w:rPr/>
              <w:t> </w:t>
            </w:r>
          </w:p>
        </w:tc>
        <w:tc>
          <w:tcPr>
            <w:tcW w:w="1639" w:type="dxa"/>
            <w:tcBorders>
              <w:bottom w:val="single" w:sz="12" w:space="0" w:color="000000"/>
            </w:tcBorders>
            <w:shd w:fill="CCEEFF" w:val="clear"/>
            <w:vAlign w:val="bottom"/>
          </w:tcPr>
          <w:p>
            <w:pPr>
              <w:pStyle w:val="TableContents"/>
              <w:bidi w:val="0"/>
              <w:spacing w:before="0" w:after="0"/>
              <w:jc w:val="right"/>
              <w:rPr>
                <w:sz w:val="20"/>
              </w:rPr>
            </w:pPr>
            <w:r>
              <w:rPr>
                <w:sz w:val="20"/>
              </w:rPr>
              <w:t>(8</w:t>
            </w:r>
          </w:p>
        </w:tc>
        <w:tc>
          <w:tcPr>
            <w:tcW w:w="80" w:type="dxa"/>
            <w:tcBorders>
              <w:bottom w:val="single" w:sz="12" w:space="0" w:color="000000"/>
            </w:tcBorders>
            <w:shd w:fill="CCEEFF" w:val="clear"/>
            <w:vAlign w:val="bottom"/>
          </w:tcPr>
          <w:p>
            <w:pPr>
              <w:pStyle w:val="TableContents"/>
              <w:bidi w:val="0"/>
              <w:spacing w:before="0" w:after="0"/>
              <w:jc w:val="left"/>
              <w:rPr>
                <w:sz w:val="20"/>
              </w:rPr>
            </w:pPr>
            <w:r>
              <w:rPr>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vAlign w:val="bottom"/>
          </w:tcPr>
          <w:p>
            <w:pPr>
              <w:pStyle w:val="TableContents"/>
              <w:bidi w:val="0"/>
              <w:spacing w:before="0" w:after="283"/>
              <w:jc w:val="left"/>
              <w:rPr/>
            </w:pPr>
            <w:r>
              <w:rPr/>
              <w:t> </w:t>
            </w:r>
          </w:p>
        </w:tc>
        <w:tc>
          <w:tcPr>
            <w:tcW w:w="1834" w:type="dxa"/>
            <w:tcBorders>
              <w:bottom w:val="single" w:sz="12" w:space="0" w:color="000000"/>
            </w:tcBorders>
            <w:shd w:fill="CCEEFF" w:val="clear"/>
            <w:vAlign w:val="bottom"/>
          </w:tcPr>
          <w:p>
            <w:pPr>
              <w:pStyle w:val="TableContents"/>
              <w:bidi w:val="0"/>
              <w:spacing w:before="0" w:after="0"/>
              <w:jc w:val="right"/>
              <w:rPr>
                <w:sz w:val="20"/>
              </w:rPr>
            </w:pPr>
            <w:r>
              <w:rPr>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1055" w:type="dxa"/>
            <w:tcBorders>
              <w:bottom w:val="single" w:sz="12" w:space="0" w:color="000000"/>
            </w:tcBorders>
            <w:shd w:fill="CCEEFF" w:val="clear"/>
            <w:vAlign w:val="bottom"/>
          </w:tcPr>
          <w:p>
            <w:pPr>
              <w:pStyle w:val="TableContents"/>
              <w:bidi w:val="0"/>
              <w:spacing w:before="0" w:after="0"/>
              <w:jc w:val="right"/>
              <w:rPr>
                <w:sz w:val="20"/>
              </w:rPr>
            </w:pPr>
            <w:r>
              <w:rPr>
                <w:sz w:val="20"/>
              </w:rPr>
              <w:t>(8</w:t>
            </w:r>
          </w:p>
        </w:tc>
        <w:tc>
          <w:tcPr>
            <w:tcW w:w="80" w:type="dxa"/>
            <w:tcBorders/>
            <w:shd w:fill="CCEEFF" w:val="clear"/>
            <w:tcMar>
              <w:bottom w:w="0" w:type="dxa"/>
            </w:tcMar>
            <w:vAlign w:val="bottom"/>
          </w:tcPr>
          <w:p>
            <w:pPr>
              <w:pStyle w:val="TableContents"/>
              <w:bidi w:val="0"/>
              <w:spacing w:before="0" w:after="0"/>
              <w:jc w:val="left"/>
              <w:rPr>
                <w:sz w:val="20"/>
              </w:rPr>
            </w:pPr>
            <w:r>
              <w:rPr>
                <w:sz w:val="20"/>
              </w:rPr>
              <w:t>)</w:t>
            </w:r>
          </w:p>
        </w:tc>
      </w:tr>
      <w:tr>
        <w:trPr/>
        <w:tc>
          <w:tcPr>
            <w:tcW w:w="6455" w:type="dxa"/>
            <w:tcBorders>
              <w:bottom w:val="single" w:sz="12" w:space="0" w:color="000000"/>
            </w:tcBorders>
            <w:vAlign w:val="bottom"/>
          </w:tcPr>
          <w:p>
            <w:pPr>
              <w:pStyle w:val="TableContents"/>
              <w:bidi w:val="0"/>
              <w:spacing w:before="0" w:after="0"/>
              <w:jc w:val="left"/>
              <w:rPr>
                <w:b/>
                <w:sz w:val="20"/>
              </w:rPr>
            </w:pPr>
            <w:r>
              <w:rPr>
                <w:b/>
                <w:sz w:val="20"/>
              </w:rPr>
              <w:t>Comprehensive loss from operations</w:t>
            </w:r>
          </w:p>
        </w:tc>
        <w:tc>
          <w:tcPr>
            <w:tcW w:w="60" w:type="dxa"/>
            <w:tcBorders>
              <w:bottom w:val="single" w:sz="12" w:space="0" w:color="000000"/>
            </w:tcBorders>
            <w:vAlign w:val="bottom"/>
          </w:tcPr>
          <w:p>
            <w:pPr>
              <w:pStyle w:val="TableContents"/>
              <w:bidi w:val="0"/>
              <w:spacing w:before="0" w:after="283"/>
              <w:jc w:val="left"/>
              <w:rPr/>
            </w:pPr>
            <w:r>
              <w:rPr/>
              <w:t> </w:t>
            </w:r>
          </w:p>
        </w:tc>
        <w:tc>
          <w:tcPr>
            <w:tcW w:w="234" w:type="dxa"/>
            <w:tcBorders>
              <w:bottom w:val="single" w:sz="12" w:space="0" w:color="000000"/>
            </w:tcBorders>
            <w:vAlign w:val="bottom"/>
          </w:tcPr>
          <w:p>
            <w:pPr>
              <w:pStyle w:val="TableContents"/>
              <w:bidi w:val="0"/>
              <w:spacing w:before="0" w:after="283"/>
              <w:jc w:val="left"/>
              <w:rPr/>
            </w:pPr>
            <w:r>
              <w:rPr/>
              <w:t> </w:t>
            </w:r>
          </w:p>
        </w:tc>
        <w:tc>
          <w:tcPr>
            <w:tcW w:w="1781" w:type="dxa"/>
            <w:tcBorders>
              <w:bottom w:val="single" w:sz="12" w:space="0" w:color="000000"/>
            </w:tcBorders>
            <w:vAlign w:val="bottom"/>
          </w:tcPr>
          <w:p>
            <w:pPr>
              <w:pStyle w:val="TableContents"/>
              <w:bidi w:val="0"/>
              <w:spacing w:before="0" w:after="0"/>
              <w:jc w:val="right"/>
              <w:rPr>
                <w:b/>
                <w:sz w:val="20"/>
              </w:rPr>
            </w:pPr>
            <w:r>
              <w:rPr>
                <w:b/>
                <w:sz w:val="20"/>
              </w:rPr>
              <w:t>(7,901</w:t>
            </w:r>
          </w:p>
        </w:tc>
        <w:tc>
          <w:tcPr>
            <w:tcW w:w="80" w:type="dxa"/>
            <w:tcBorders>
              <w:bottom w:val="single" w:sz="12" w:space="0" w:color="000000"/>
            </w:tcBorders>
            <w:vAlign w:val="bottom"/>
          </w:tcPr>
          <w:p>
            <w:pPr>
              <w:pStyle w:val="TableContents"/>
              <w:bidi w:val="0"/>
              <w:spacing w:before="0" w:after="0"/>
              <w:jc w:val="left"/>
              <w:rPr>
                <w:b/>
                <w:sz w:val="20"/>
              </w:rPr>
            </w:pPr>
            <w:r>
              <w:rPr>
                <w:b/>
                <w:sz w:val="2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126" w:type="dxa"/>
            <w:tcBorders>
              <w:bottom w:val="single" w:sz="12" w:space="0" w:color="000000"/>
            </w:tcBorders>
            <w:vAlign w:val="bottom"/>
          </w:tcPr>
          <w:p>
            <w:pPr>
              <w:pStyle w:val="TableContents"/>
              <w:bidi w:val="0"/>
              <w:spacing w:before="0" w:after="283"/>
              <w:jc w:val="left"/>
              <w:rPr/>
            </w:pPr>
            <w:r>
              <w:rPr/>
              <w:t> </w:t>
            </w:r>
          </w:p>
        </w:tc>
        <w:tc>
          <w:tcPr>
            <w:tcW w:w="959" w:type="dxa"/>
            <w:tcBorders>
              <w:bottom w:val="single" w:sz="12" w:space="0" w:color="000000"/>
            </w:tcBorders>
            <w:vAlign w:val="bottom"/>
          </w:tcPr>
          <w:p>
            <w:pPr>
              <w:pStyle w:val="TableContents"/>
              <w:bidi w:val="0"/>
              <w:spacing w:before="0" w:after="0"/>
              <w:jc w:val="right"/>
              <w:rPr>
                <w:b/>
                <w:sz w:val="20"/>
              </w:rPr>
            </w:pPr>
            <w:r>
              <w:rPr>
                <w:b/>
                <w:sz w:val="20"/>
              </w:rPr>
              <w:t>(8,556</w:t>
            </w:r>
          </w:p>
        </w:tc>
        <w:tc>
          <w:tcPr>
            <w:tcW w:w="80" w:type="dxa"/>
            <w:tcBorders>
              <w:bottom w:val="single" w:sz="12" w:space="0" w:color="000000"/>
            </w:tcBorders>
            <w:vAlign w:val="bottom"/>
          </w:tcPr>
          <w:p>
            <w:pPr>
              <w:pStyle w:val="TableContents"/>
              <w:bidi w:val="0"/>
              <w:spacing w:before="0" w:after="0"/>
              <w:jc w:val="left"/>
              <w:rPr>
                <w:b/>
                <w:sz w:val="20"/>
              </w:rPr>
            </w:pPr>
            <w:r>
              <w:rPr>
                <w:b/>
                <w:sz w:val="2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151" w:type="dxa"/>
            <w:tcBorders>
              <w:bottom w:val="single" w:sz="12" w:space="0" w:color="000000"/>
            </w:tcBorders>
            <w:vAlign w:val="bottom"/>
          </w:tcPr>
          <w:p>
            <w:pPr>
              <w:pStyle w:val="TableContents"/>
              <w:bidi w:val="0"/>
              <w:spacing w:before="0" w:after="283"/>
              <w:jc w:val="left"/>
              <w:rPr/>
            </w:pPr>
            <w:r>
              <w:rPr/>
              <w:t> </w:t>
            </w:r>
          </w:p>
        </w:tc>
        <w:tc>
          <w:tcPr>
            <w:tcW w:w="1639" w:type="dxa"/>
            <w:tcBorders>
              <w:bottom w:val="single" w:sz="12" w:space="0" w:color="000000"/>
            </w:tcBorders>
            <w:vAlign w:val="bottom"/>
          </w:tcPr>
          <w:p>
            <w:pPr>
              <w:pStyle w:val="TableContents"/>
              <w:bidi w:val="0"/>
              <w:spacing w:before="0" w:after="0"/>
              <w:jc w:val="right"/>
              <w:rPr>
                <w:b/>
                <w:sz w:val="20"/>
              </w:rPr>
            </w:pPr>
            <w:r>
              <w:rPr>
                <w:b/>
                <w:sz w:val="20"/>
              </w:rPr>
              <w:t>(16,457</w:t>
            </w:r>
          </w:p>
        </w:tc>
        <w:tc>
          <w:tcPr>
            <w:tcW w:w="80" w:type="dxa"/>
            <w:tcBorders>
              <w:bottom w:val="single" w:sz="12" w:space="0" w:color="000000"/>
            </w:tcBorders>
            <w:vAlign w:val="bottom"/>
          </w:tcPr>
          <w:p>
            <w:pPr>
              <w:pStyle w:val="TableContents"/>
              <w:bidi w:val="0"/>
              <w:spacing w:before="0" w:after="0"/>
              <w:jc w:val="left"/>
              <w:rPr>
                <w:b/>
                <w:sz w:val="20"/>
              </w:rPr>
            </w:pPr>
            <w:r>
              <w:rPr>
                <w:b/>
                <w:sz w:val="2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226" w:type="dxa"/>
            <w:tcBorders>
              <w:bottom w:val="single" w:sz="12" w:space="0" w:color="000000"/>
            </w:tcBorders>
            <w:vAlign w:val="bottom"/>
          </w:tcPr>
          <w:p>
            <w:pPr>
              <w:pStyle w:val="TableContents"/>
              <w:bidi w:val="0"/>
              <w:spacing w:before="0" w:after="283"/>
              <w:jc w:val="left"/>
              <w:rPr/>
            </w:pPr>
            <w:r>
              <w:rPr/>
              <w:t> </w:t>
            </w:r>
          </w:p>
        </w:tc>
        <w:tc>
          <w:tcPr>
            <w:tcW w:w="1834" w:type="dxa"/>
            <w:tcBorders>
              <w:bottom w:val="single" w:sz="12" w:space="0" w:color="000000"/>
            </w:tcBorders>
            <w:vAlign w:val="bottom"/>
          </w:tcPr>
          <w:p>
            <w:pPr>
              <w:pStyle w:val="TableContents"/>
              <w:bidi w:val="0"/>
              <w:spacing w:before="0" w:after="0"/>
              <w:jc w:val="right"/>
              <w:rPr>
                <w:b/>
                <w:sz w:val="20"/>
              </w:rPr>
            </w:pPr>
            <w:r>
              <w:rPr>
                <w:b/>
                <w:sz w:val="2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1055" w:type="dxa"/>
            <w:tcBorders>
              <w:bottom w:val="single" w:sz="12" w:space="0" w:color="000000"/>
            </w:tcBorders>
            <w:vAlign w:val="bottom"/>
          </w:tcPr>
          <w:p>
            <w:pPr>
              <w:pStyle w:val="TableContents"/>
              <w:bidi w:val="0"/>
              <w:spacing w:before="0" w:after="0"/>
              <w:jc w:val="right"/>
              <w:rPr>
                <w:b/>
                <w:sz w:val="20"/>
              </w:rPr>
            </w:pPr>
            <w:r>
              <w:rPr>
                <w:b/>
                <w:sz w:val="20"/>
              </w:rPr>
              <w:t>(16,457</w:t>
            </w:r>
          </w:p>
        </w:tc>
        <w:tc>
          <w:tcPr>
            <w:tcW w:w="80" w:type="dxa"/>
            <w:tcBorders/>
            <w:tcMar>
              <w:bottom w:w="0" w:type="dxa"/>
            </w:tcMar>
            <w:vAlign w:val="bottom"/>
          </w:tcPr>
          <w:p>
            <w:pPr>
              <w:pStyle w:val="TableContents"/>
              <w:bidi w:val="0"/>
              <w:spacing w:before="0" w:after="0"/>
              <w:jc w:val="left"/>
              <w:rPr>
                <w:b/>
                <w:sz w:val="20"/>
              </w:rPr>
            </w:pPr>
            <w:r>
              <w:rPr>
                <w:b/>
                <w:sz w:val="20"/>
              </w:rPr>
              <w:t>)</w:t>
            </w:r>
          </w:p>
        </w:tc>
      </w:tr>
      <w:tr>
        <w:trPr/>
        <w:tc>
          <w:tcPr>
            <w:tcW w:w="6455" w:type="dxa"/>
            <w:tcBorders/>
            <w:shd w:fill="CCEEFF" w:val="clear"/>
            <w:tcMar>
              <w:bottom w:w="0" w:type="dxa"/>
            </w:tcMar>
            <w:vAlign w:val="bottom"/>
          </w:tcPr>
          <w:p>
            <w:pPr>
              <w:pStyle w:val="TableContents"/>
              <w:bidi w:val="0"/>
              <w:spacing w:before="0" w:after="0"/>
              <w:jc w:val="left"/>
              <w:rPr>
                <w:b/>
                <w:sz w:val="20"/>
              </w:rPr>
            </w:pPr>
            <w:r>
              <w:rPr>
                <w:b/>
                <w:sz w:val="20"/>
              </w:rPr>
              <w:t>Net loss attributable to noncontrolling interest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34" w:type="dxa"/>
            <w:tcBorders/>
            <w:shd w:fill="CCEEFF" w:val="clear"/>
            <w:tcMar>
              <w:bottom w:w="0" w:type="dxa"/>
            </w:tcMar>
            <w:vAlign w:val="bottom"/>
          </w:tcPr>
          <w:p>
            <w:pPr>
              <w:pStyle w:val="TableContents"/>
              <w:bidi w:val="0"/>
              <w:spacing w:before="0" w:after="283"/>
              <w:jc w:val="left"/>
              <w:rPr/>
            </w:pPr>
            <w:r>
              <w:rPr/>
              <w:t> </w:t>
            </w:r>
          </w:p>
        </w:tc>
        <w:tc>
          <w:tcPr>
            <w:tcW w:w="1781" w:type="dxa"/>
            <w:tcBorders/>
            <w:shd w:fill="CCEEFF" w:val="clear"/>
            <w:tcMar>
              <w:bottom w:w="0" w:type="dxa"/>
            </w:tcMar>
            <w:vAlign w:val="bottom"/>
          </w:tcPr>
          <w:p>
            <w:pPr>
              <w:pStyle w:val="TableContents"/>
              <w:bidi w:val="0"/>
              <w:spacing w:before="0" w:after="0"/>
              <w:jc w:val="right"/>
              <w:rPr>
                <w:b/>
                <w:sz w:val="20"/>
              </w:rPr>
            </w:pPr>
            <w:r>
              <w:rPr>
                <w:b/>
                <w:sz w:val="20"/>
              </w:rPr>
              <w:t>(1,167</w:t>
            </w:r>
          </w:p>
        </w:tc>
        <w:tc>
          <w:tcPr>
            <w:tcW w:w="80" w:type="dxa"/>
            <w:tcBorders/>
            <w:shd w:fill="CCEEFF" w:val="clear"/>
            <w:tcMar>
              <w:bottom w:w="0" w:type="dxa"/>
            </w:tcMar>
            <w:vAlign w:val="bottom"/>
          </w:tcPr>
          <w:p>
            <w:pPr>
              <w:pStyle w:val="TableContents"/>
              <w:bidi w:val="0"/>
              <w:spacing w:before="0" w:after="0"/>
              <w:jc w:val="left"/>
              <w:rPr>
                <w:b/>
                <w:sz w:val="20"/>
              </w:rPr>
            </w:pPr>
            <w:r>
              <w:rPr>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6" w:type="dxa"/>
            <w:tcBorders/>
            <w:shd w:fill="CCEEFF" w:val="clear"/>
            <w:tcMar>
              <w:bottom w:w="0" w:type="dxa"/>
            </w:tcMar>
            <w:vAlign w:val="bottom"/>
          </w:tcPr>
          <w:p>
            <w:pPr>
              <w:pStyle w:val="TableContents"/>
              <w:bidi w:val="0"/>
              <w:spacing w:before="0" w:after="283"/>
              <w:jc w:val="left"/>
              <w:rPr/>
            </w:pPr>
            <w:r>
              <w:rPr/>
              <w:t> </w:t>
            </w:r>
          </w:p>
        </w:tc>
        <w:tc>
          <w:tcPr>
            <w:tcW w:w="959" w:type="dxa"/>
            <w:tcBorders/>
            <w:shd w:fill="CCEEFF" w:val="clear"/>
            <w:tcMar>
              <w:bottom w:w="0" w:type="dxa"/>
            </w:tcMar>
            <w:vAlign w:val="bottom"/>
          </w:tcPr>
          <w:p>
            <w:pPr>
              <w:pStyle w:val="TableContents"/>
              <w:bidi w:val="0"/>
              <w:spacing w:before="0" w:after="0"/>
              <w:jc w:val="right"/>
              <w:rPr>
                <w:b/>
                <w:sz w:val="20"/>
              </w:rPr>
            </w:pPr>
            <w:r>
              <w:rPr>
                <w:b/>
                <w:sz w:val="20"/>
              </w:rPr>
              <w:t>-</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1639" w:type="dxa"/>
            <w:tcBorders/>
            <w:shd w:fill="CCEEFF" w:val="clear"/>
            <w:tcMar>
              <w:bottom w:w="0" w:type="dxa"/>
            </w:tcMar>
            <w:vAlign w:val="bottom"/>
          </w:tcPr>
          <w:p>
            <w:pPr>
              <w:pStyle w:val="TableContents"/>
              <w:bidi w:val="0"/>
              <w:spacing w:before="0" w:after="0"/>
              <w:jc w:val="right"/>
              <w:rPr>
                <w:b/>
                <w:sz w:val="20"/>
              </w:rPr>
            </w:pPr>
            <w:r>
              <w:rPr>
                <w:b/>
                <w:sz w:val="20"/>
              </w:rPr>
              <w:t>(1,167</w:t>
            </w:r>
          </w:p>
        </w:tc>
        <w:tc>
          <w:tcPr>
            <w:tcW w:w="80" w:type="dxa"/>
            <w:tcBorders/>
            <w:shd w:fill="CCEEFF" w:val="clear"/>
            <w:tcMar>
              <w:bottom w:w="0" w:type="dxa"/>
            </w:tcMar>
            <w:vAlign w:val="bottom"/>
          </w:tcPr>
          <w:p>
            <w:pPr>
              <w:pStyle w:val="TableContents"/>
              <w:bidi w:val="0"/>
              <w:spacing w:before="0" w:after="0"/>
              <w:jc w:val="left"/>
              <w:rPr>
                <w:b/>
                <w:sz w:val="20"/>
              </w:rPr>
            </w:pPr>
            <w:r>
              <w:rPr>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0"/>
              <w:jc w:val="right"/>
              <w:rPr>
                <w:b/>
                <w:sz w:val="20"/>
              </w:rPr>
            </w:pPr>
            <w:r>
              <w:rPr>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b/>
                <w:sz w:val="20"/>
              </w:rPr>
            </w:pPr>
            <w:r>
              <w:rPr>
                <w:b/>
                <w:sz w:val="20"/>
              </w:rPr>
              <w:t>(1,167</w:t>
            </w:r>
          </w:p>
        </w:tc>
        <w:tc>
          <w:tcPr>
            <w:tcW w:w="80" w:type="dxa"/>
            <w:tcBorders/>
            <w:shd w:fill="CCEEFF" w:val="clear"/>
            <w:tcMar>
              <w:bottom w:w="0" w:type="dxa"/>
            </w:tcMar>
            <w:vAlign w:val="bottom"/>
          </w:tcPr>
          <w:p>
            <w:pPr>
              <w:pStyle w:val="TableContents"/>
              <w:bidi w:val="0"/>
              <w:spacing w:before="0" w:after="0"/>
              <w:jc w:val="left"/>
              <w:rPr>
                <w:b/>
                <w:sz w:val="20"/>
              </w:rPr>
            </w:pPr>
            <w:r>
              <w:rPr>
                <w:b/>
                <w:sz w:val="20"/>
              </w:rPr>
              <w:t>)</w:t>
            </w:r>
          </w:p>
        </w:tc>
      </w:tr>
      <w:tr>
        <w:trPr/>
        <w:tc>
          <w:tcPr>
            <w:tcW w:w="6455" w:type="dxa"/>
            <w:tcBorders>
              <w:bottom w:val="single" w:sz="12" w:space="0" w:color="000000"/>
            </w:tcBorders>
            <w:vAlign w:val="bottom"/>
          </w:tcPr>
          <w:p>
            <w:pPr>
              <w:pStyle w:val="TableContents"/>
              <w:bidi w:val="0"/>
              <w:spacing w:before="0" w:after="0"/>
              <w:ind w:left="180" w:right="0" w:hanging="180"/>
              <w:jc w:val="left"/>
              <w:rPr>
                <w:sz w:val="20"/>
              </w:rPr>
            </w:pPr>
            <w:r>
              <w:rPr>
                <w:sz w:val="20"/>
              </w:rPr>
              <w:t>Foreign currency translation adjustments attributable to noncontrolling interest</w:t>
            </w:r>
          </w:p>
        </w:tc>
        <w:tc>
          <w:tcPr>
            <w:tcW w:w="60" w:type="dxa"/>
            <w:tcBorders>
              <w:bottom w:val="single" w:sz="12" w:space="0" w:color="000000"/>
            </w:tcBorders>
            <w:vAlign w:val="bottom"/>
          </w:tcPr>
          <w:p>
            <w:pPr>
              <w:pStyle w:val="TableContents"/>
              <w:bidi w:val="0"/>
              <w:spacing w:before="0" w:after="283"/>
              <w:jc w:val="left"/>
              <w:rPr/>
            </w:pPr>
            <w:r>
              <w:rPr/>
              <w:t> </w:t>
            </w:r>
          </w:p>
        </w:tc>
        <w:tc>
          <w:tcPr>
            <w:tcW w:w="234" w:type="dxa"/>
            <w:tcBorders>
              <w:bottom w:val="single" w:sz="12" w:space="0" w:color="000000"/>
            </w:tcBorders>
            <w:vAlign w:val="bottom"/>
          </w:tcPr>
          <w:p>
            <w:pPr>
              <w:pStyle w:val="TableContents"/>
              <w:bidi w:val="0"/>
              <w:spacing w:before="0" w:after="283"/>
              <w:jc w:val="left"/>
              <w:rPr/>
            </w:pPr>
            <w:r>
              <w:rPr/>
              <w:t> </w:t>
            </w:r>
          </w:p>
        </w:tc>
        <w:tc>
          <w:tcPr>
            <w:tcW w:w="1781" w:type="dxa"/>
            <w:tcBorders>
              <w:bottom w:val="single" w:sz="12" w:space="0" w:color="000000"/>
            </w:tcBorders>
            <w:vAlign w:val="bottom"/>
          </w:tcPr>
          <w:p>
            <w:pPr>
              <w:pStyle w:val="TableContents"/>
              <w:bidi w:val="0"/>
              <w:spacing w:before="0" w:after="0"/>
              <w:jc w:val="right"/>
              <w:rPr>
                <w:sz w:val="20"/>
              </w:rPr>
            </w:pPr>
            <w:r>
              <w:rPr>
                <w:sz w:val="20"/>
              </w:rPr>
              <w:t>592</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26" w:type="dxa"/>
            <w:tcBorders>
              <w:bottom w:val="single" w:sz="12" w:space="0" w:color="000000"/>
            </w:tcBorders>
            <w:vAlign w:val="bottom"/>
          </w:tcPr>
          <w:p>
            <w:pPr>
              <w:pStyle w:val="TableContents"/>
              <w:bidi w:val="0"/>
              <w:spacing w:before="0" w:after="283"/>
              <w:jc w:val="left"/>
              <w:rPr/>
            </w:pPr>
            <w:r>
              <w:rPr/>
              <w:t> </w:t>
            </w:r>
          </w:p>
        </w:tc>
        <w:tc>
          <w:tcPr>
            <w:tcW w:w="959" w:type="dxa"/>
            <w:tcBorders>
              <w:bottom w:val="single" w:sz="12" w:space="0" w:color="000000"/>
            </w:tcBorders>
            <w:vAlign w:val="bottom"/>
          </w:tcPr>
          <w:p>
            <w:pPr>
              <w:pStyle w:val="TableContents"/>
              <w:bidi w:val="0"/>
              <w:spacing w:before="0" w:after="0"/>
              <w:jc w:val="right"/>
              <w:rPr>
                <w:sz w:val="20"/>
              </w:rPr>
            </w:pPr>
            <w:r>
              <w:rPr>
                <w:sz w:val="20"/>
              </w:rPr>
              <w:t>-</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51" w:type="dxa"/>
            <w:tcBorders>
              <w:bottom w:val="single" w:sz="12" w:space="0" w:color="000000"/>
            </w:tcBorders>
            <w:vAlign w:val="bottom"/>
          </w:tcPr>
          <w:p>
            <w:pPr>
              <w:pStyle w:val="TableContents"/>
              <w:bidi w:val="0"/>
              <w:spacing w:before="0" w:after="283"/>
              <w:jc w:val="left"/>
              <w:rPr/>
            </w:pPr>
            <w:r>
              <w:rPr/>
              <w:t> </w:t>
            </w:r>
          </w:p>
        </w:tc>
        <w:tc>
          <w:tcPr>
            <w:tcW w:w="1639" w:type="dxa"/>
            <w:tcBorders>
              <w:bottom w:val="single" w:sz="12" w:space="0" w:color="000000"/>
            </w:tcBorders>
            <w:vAlign w:val="bottom"/>
          </w:tcPr>
          <w:p>
            <w:pPr>
              <w:pStyle w:val="TableContents"/>
              <w:bidi w:val="0"/>
              <w:spacing w:before="0" w:after="0"/>
              <w:jc w:val="right"/>
              <w:rPr>
                <w:sz w:val="20"/>
              </w:rPr>
            </w:pPr>
            <w:r>
              <w:rPr>
                <w:sz w:val="20"/>
              </w:rPr>
              <w:t>592</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26" w:type="dxa"/>
            <w:tcBorders>
              <w:bottom w:val="single" w:sz="12" w:space="0" w:color="000000"/>
            </w:tcBorders>
            <w:vAlign w:val="bottom"/>
          </w:tcPr>
          <w:p>
            <w:pPr>
              <w:pStyle w:val="TableContents"/>
              <w:bidi w:val="0"/>
              <w:spacing w:before="0" w:after="283"/>
              <w:jc w:val="left"/>
              <w:rPr/>
            </w:pPr>
            <w:r>
              <w:rPr/>
              <w:t> </w:t>
            </w:r>
          </w:p>
        </w:tc>
        <w:tc>
          <w:tcPr>
            <w:tcW w:w="1834" w:type="dxa"/>
            <w:tcBorders>
              <w:bottom w:val="single" w:sz="12" w:space="0" w:color="000000"/>
            </w:tcBorders>
            <w:vAlign w:val="bottom"/>
          </w:tcPr>
          <w:p>
            <w:pPr>
              <w:pStyle w:val="TableContents"/>
              <w:bidi w:val="0"/>
              <w:spacing w:before="0" w:after="0"/>
              <w:jc w:val="right"/>
              <w:rPr>
                <w:sz w:val="20"/>
              </w:rPr>
            </w:pPr>
            <w:r>
              <w:rPr>
                <w:sz w:val="2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1055" w:type="dxa"/>
            <w:tcBorders>
              <w:bottom w:val="single" w:sz="12" w:space="0" w:color="000000"/>
            </w:tcBorders>
            <w:vAlign w:val="bottom"/>
          </w:tcPr>
          <w:p>
            <w:pPr>
              <w:pStyle w:val="TableContents"/>
              <w:bidi w:val="0"/>
              <w:spacing w:before="0" w:after="0"/>
              <w:jc w:val="right"/>
              <w:rPr>
                <w:sz w:val="20"/>
              </w:rPr>
            </w:pPr>
            <w:r>
              <w:rPr>
                <w:sz w:val="20"/>
              </w:rPr>
              <w:t>592</w:t>
            </w:r>
          </w:p>
        </w:tc>
        <w:tc>
          <w:tcPr>
            <w:tcW w:w="80" w:type="dxa"/>
            <w:tcBorders/>
            <w:tcMar>
              <w:bottom w:w="0" w:type="dxa"/>
            </w:tcMar>
            <w:vAlign w:val="bottom"/>
          </w:tcPr>
          <w:p>
            <w:pPr>
              <w:pStyle w:val="TableContents"/>
              <w:bidi w:val="0"/>
              <w:spacing w:before="0" w:after="283"/>
              <w:jc w:val="left"/>
              <w:rPr/>
            </w:pPr>
            <w:r>
              <w:rPr/>
              <w:t> </w:t>
            </w:r>
          </w:p>
        </w:tc>
      </w:tr>
      <w:tr>
        <w:trPr/>
        <w:tc>
          <w:tcPr>
            <w:tcW w:w="6455" w:type="dxa"/>
            <w:tcBorders>
              <w:bottom w:val="single" w:sz="12" w:space="0" w:color="000000"/>
            </w:tcBorders>
            <w:shd w:fill="CCEEFF" w:val="clear"/>
            <w:vAlign w:val="bottom"/>
          </w:tcPr>
          <w:p>
            <w:pPr>
              <w:pStyle w:val="TableContents"/>
              <w:bidi w:val="0"/>
              <w:spacing w:before="0" w:after="0"/>
              <w:jc w:val="left"/>
              <w:rPr>
                <w:b/>
                <w:sz w:val="20"/>
              </w:rPr>
            </w:pPr>
            <w:r>
              <w:rPr>
                <w:b/>
                <w:sz w:val="20"/>
              </w:rPr>
              <w:t>Comprehensive loss attributable to noncontrolling interest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34" w:type="dxa"/>
            <w:tcBorders>
              <w:bottom w:val="single" w:sz="12" w:space="0" w:color="000000"/>
            </w:tcBorders>
            <w:shd w:fill="CCEEFF" w:val="clear"/>
            <w:vAlign w:val="bottom"/>
          </w:tcPr>
          <w:p>
            <w:pPr>
              <w:pStyle w:val="TableContents"/>
              <w:bidi w:val="0"/>
              <w:spacing w:before="0" w:after="283"/>
              <w:jc w:val="left"/>
              <w:rPr/>
            </w:pPr>
            <w:r>
              <w:rPr/>
              <w:t> </w:t>
            </w:r>
          </w:p>
        </w:tc>
        <w:tc>
          <w:tcPr>
            <w:tcW w:w="1781" w:type="dxa"/>
            <w:tcBorders>
              <w:bottom w:val="single" w:sz="12" w:space="0" w:color="000000"/>
            </w:tcBorders>
            <w:shd w:fill="CCEEFF" w:val="clear"/>
            <w:vAlign w:val="bottom"/>
          </w:tcPr>
          <w:p>
            <w:pPr>
              <w:pStyle w:val="TableContents"/>
              <w:bidi w:val="0"/>
              <w:spacing w:before="0" w:after="0"/>
              <w:jc w:val="right"/>
              <w:rPr>
                <w:b/>
                <w:sz w:val="20"/>
              </w:rPr>
            </w:pPr>
            <w:r>
              <w:rPr>
                <w:b/>
                <w:sz w:val="20"/>
              </w:rPr>
              <w:t>(575</w:t>
            </w:r>
          </w:p>
        </w:tc>
        <w:tc>
          <w:tcPr>
            <w:tcW w:w="80" w:type="dxa"/>
            <w:tcBorders>
              <w:bottom w:val="single" w:sz="12" w:space="0" w:color="000000"/>
            </w:tcBorders>
            <w:shd w:fill="CCEEFF" w:val="clear"/>
            <w:vAlign w:val="bottom"/>
          </w:tcPr>
          <w:p>
            <w:pPr>
              <w:pStyle w:val="TableContents"/>
              <w:bidi w:val="0"/>
              <w:spacing w:before="0" w:after="0"/>
              <w:jc w:val="left"/>
              <w:rPr>
                <w:b/>
                <w:sz w:val="20"/>
              </w:rPr>
            </w:pPr>
            <w:r>
              <w:rPr>
                <w:b/>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vAlign w:val="bottom"/>
          </w:tcPr>
          <w:p>
            <w:pPr>
              <w:pStyle w:val="TableContents"/>
              <w:bidi w:val="0"/>
              <w:spacing w:before="0" w:after="283"/>
              <w:jc w:val="left"/>
              <w:rPr/>
            </w:pPr>
            <w:r>
              <w:rPr/>
              <w:t> </w:t>
            </w:r>
          </w:p>
        </w:tc>
        <w:tc>
          <w:tcPr>
            <w:tcW w:w="959" w:type="dxa"/>
            <w:tcBorders>
              <w:bottom w:val="single" w:sz="12" w:space="0" w:color="000000"/>
            </w:tcBorders>
            <w:shd w:fill="CCEEFF" w:val="clear"/>
            <w:vAlign w:val="bottom"/>
          </w:tcPr>
          <w:p>
            <w:pPr>
              <w:pStyle w:val="TableContents"/>
              <w:bidi w:val="0"/>
              <w:spacing w:before="0" w:after="0"/>
              <w:jc w:val="right"/>
              <w:rPr>
                <w:b/>
                <w:sz w:val="20"/>
              </w:rPr>
            </w:pPr>
            <w:r>
              <w:rPr>
                <w:b/>
                <w:sz w:val="20"/>
              </w:rPr>
              <w:t>-</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vAlign w:val="bottom"/>
          </w:tcPr>
          <w:p>
            <w:pPr>
              <w:pStyle w:val="TableContents"/>
              <w:bidi w:val="0"/>
              <w:spacing w:before="0" w:after="283"/>
              <w:jc w:val="left"/>
              <w:rPr/>
            </w:pPr>
            <w:r>
              <w:rPr/>
              <w:t> </w:t>
            </w:r>
          </w:p>
        </w:tc>
        <w:tc>
          <w:tcPr>
            <w:tcW w:w="1639" w:type="dxa"/>
            <w:tcBorders>
              <w:bottom w:val="single" w:sz="12" w:space="0" w:color="000000"/>
            </w:tcBorders>
            <w:shd w:fill="CCEEFF" w:val="clear"/>
            <w:vAlign w:val="bottom"/>
          </w:tcPr>
          <w:p>
            <w:pPr>
              <w:pStyle w:val="TableContents"/>
              <w:bidi w:val="0"/>
              <w:spacing w:before="0" w:after="0"/>
              <w:jc w:val="right"/>
              <w:rPr>
                <w:b/>
                <w:sz w:val="20"/>
              </w:rPr>
            </w:pPr>
            <w:r>
              <w:rPr>
                <w:b/>
                <w:sz w:val="20"/>
              </w:rPr>
              <w:t>(575</w:t>
            </w:r>
          </w:p>
        </w:tc>
        <w:tc>
          <w:tcPr>
            <w:tcW w:w="80" w:type="dxa"/>
            <w:tcBorders>
              <w:bottom w:val="single" w:sz="12" w:space="0" w:color="000000"/>
            </w:tcBorders>
            <w:shd w:fill="CCEEFF" w:val="clear"/>
            <w:vAlign w:val="bottom"/>
          </w:tcPr>
          <w:p>
            <w:pPr>
              <w:pStyle w:val="TableContents"/>
              <w:bidi w:val="0"/>
              <w:spacing w:before="0" w:after="0"/>
              <w:jc w:val="left"/>
              <w:rPr>
                <w:b/>
                <w:sz w:val="20"/>
              </w:rPr>
            </w:pPr>
            <w:r>
              <w:rPr>
                <w:b/>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vAlign w:val="bottom"/>
          </w:tcPr>
          <w:p>
            <w:pPr>
              <w:pStyle w:val="TableContents"/>
              <w:bidi w:val="0"/>
              <w:spacing w:before="0" w:after="283"/>
              <w:jc w:val="left"/>
              <w:rPr/>
            </w:pPr>
            <w:r>
              <w:rPr/>
              <w:t> </w:t>
            </w:r>
          </w:p>
        </w:tc>
        <w:tc>
          <w:tcPr>
            <w:tcW w:w="1834" w:type="dxa"/>
            <w:tcBorders>
              <w:bottom w:val="single" w:sz="12" w:space="0" w:color="000000"/>
            </w:tcBorders>
            <w:shd w:fill="CCEEFF" w:val="clear"/>
            <w:vAlign w:val="bottom"/>
          </w:tcPr>
          <w:p>
            <w:pPr>
              <w:pStyle w:val="TableContents"/>
              <w:bidi w:val="0"/>
              <w:spacing w:before="0" w:after="0"/>
              <w:jc w:val="right"/>
              <w:rPr>
                <w:b/>
                <w:sz w:val="20"/>
              </w:rPr>
            </w:pPr>
            <w:r>
              <w:rPr>
                <w:b/>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80"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1055" w:type="dxa"/>
            <w:tcBorders>
              <w:bottom w:val="single" w:sz="12" w:space="0" w:color="000000"/>
            </w:tcBorders>
            <w:shd w:fill="CCEEFF" w:val="clear"/>
            <w:vAlign w:val="bottom"/>
          </w:tcPr>
          <w:p>
            <w:pPr>
              <w:pStyle w:val="TableContents"/>
              <w:bidi w:val="0"/>
              <w:spacing w:before="0" w:after="0"/>
              <w:jc w:val="right"/>
              <w:rPr>
                <w:b/>
                <w:sz w:val="20"/>
              </w:rPr>
            </w:pPr>
            <w:r>
              <w:rPr>
                <w:b/>
                <w:sz w:val="20"/>
              </w:rPr>
              <w:t>(575</w:t>
            </w:r>
          </w:p>
        </w:tc>
        <w:tc>
          <w:tcPr>
            <w:tcW w:w="80" w:type="dxa"/>
            <w:tcBorders/>
            <w:shd w:fill="CCEEFF" w:val="clear"/>
            <w:tcMar>
              <w:bottom w:w="0" w:type="dxa"/>
            </w:tcMar>
            <w:vAlign w:val="bottom"/>
          </w:tcPr>
          <w:p>
            <w:pPr>
              <w:pStyle w:val="TableContents"/>
              <w:bidi w:val="0"/>
              <w:spacing w:before="0" w:after="0"/>
              <w:jc w:val="left"/>
              <w:rPr>
                <w:b/>
                <w:sz w:val="20"/>
              </w:rPr>
            </w:pPr>
            <w:r>
              <w:rPr>
                <w:b/>
                <w:sz w:val="20"/>
              </w:rPr>
              <w:t>)</w:t>
            </w:r>
          </w:p>
        </w:tc>
      </w:tr>
      <w:tr>
        <w:trPr/>
        <w:tc>
          <w:tcPr>
            <w:tcW w:w="6455" w:type="dxa"/>
            <w:tcBorders>
              <w:bottom w:val="double" w:sz="8" w:space="0" w:color="000000"/>
            </w:tcBorders>
            <w:vAlign w:val="bottom"/>
          </w:tcPr>
          <w:p>
            <w:pPr>
              <w:pStyle w:val="TableContents"/>
              <w:bidi w:val="0"/>
              <w:spacing w:before="0" w:after="0"/>
              <w:jc w:val="left"/>
              <w:rPr>
                <w:b/>
                <w:sz w:val="20"/>
              </w:rPr>
            </w:pPr>
            <w:r>
              <w:rPr>
                <w:b/>
                <w:sz w:val="20"/>
              </w:rPr>
              <w:t>Comprehensive loss attributable to common stockholders</w:t>
            </w:r>
          </w:p>
        </w:tc>
        <w:tc>
          <w:tcPr>
            <w:tcW w:w="60" w:type="dxa"/>
            <w:tcBorders>
              <w:bottom w:val="double" w:sz="8" w:space="0" w:color="000000"/>
            </w:tcBorders>
            <w:vAlign w:val="bottom"/>
          </w:tcPr>
          <w:p>
            <w:pPr>
              <w:pStyle w:val="TableContents"/>
              <w:bidi w:val="0"/>
              <w:spacing w:before="0" w:after="283"/>
              <w:jc w:val="left"/>
              <w:rPr/>
            </w:pPr>
            <w:r>
              <w:rPr/>
              <w:t> </w:t>
            </w:r>
          </w:p>
        </w:tc>
        <w:tc>
          <w:tcPr>
            <w:tcW w:w="234" w:type="dxa"/>
            <w:tcBorders>
              <w:bottom w:val="double" w:sz="8" w:space="0" w:color="000000"/>
            </w:tcBorders>
            <w:vAlign w:val="bottom"/>
          </w:tcPr>
          <w:p>
            <w:pPr>
              <w:pStyle w:val="TableContents"/>
              <w:bidi w:val="0"/>
              <w:spacing w:before="0" w:after="283"/>
              <w:jc w:val="left"/>
              <w:rPr/>
            </w:pPr>
            <w:r>
              <w:rPr/>
              <w:t> </w:t>
            </w:r>
          </w:p>
        </w:tc>
        <w:tc>
          <w:tcPr>
            <w:tcW w:w="1781" w:type="dxa"/>
            <w:tcBorders>
              <w:bottom w:val="double" w:sz="8" w:space="0" w:color="000000"/>
            </w:tcBorders>
            <w:vAlign w:val="bottom"/>
          </w:tcPr>
          <w:p>
            <w:pPr>
              <w:pStyle w:val="TableContents"/>
              <w:bidi w:val="0"/>
              <w:spacing w:before="0" w:after="0"/>
              <w:jc w:val="right"/>
              <w:rPr>
                <w:b/>
                <w:sz w:val="20"/>
              </w:rPr>
            </w:pPr>
            <w:r>
              <w:rPr>
                <w:b/>
                <w:sz w:val="20"/>
              </w:rPr>
              <w:t>(7,326</w:t>
            </w:r>
          </w:p>
        </w:tc>
        <w:tc>
          <w:tcPr>
            <w:tcW w:w="80" w:type="dxa"/>
            <w:tcBorders>
              <w:bottom w:val="double" w:sz="8" w:space="0" w:color="000000"/>
            </w:tcBorders>
            <w:vAlign w:val="bottom"/>
          </w:tcPr>
          <w:p>
            <w:pPr>
              <w:pStyle w:val="TableContents"/>
              <w:bidi w:val="0"/>
              <w:spacing w:before="0" w:after="0"/>
              <w:jc w:val="left"/>
              <w:rPr>
                <w:b/>
                <w:sz w:val="20"/>
              </w:rPr>
            </w:pPr>
            <w:r>
              <w:rPr>
                <w:b/>
                <w:sz w:val="20"/>
              </w:rPr>
              <w:t>)</w:t>
            </w:r>
          </w:p>
        </w:tc>
        <w:tc>
          <w:tcPr>
            <w:tcW w:w="60" w:type="dxa"/>
            <w:tcBorders>
              <w:bottom w:val="double" w:sz="8" w:space="0" w:color="000000"/>
            </w:tcBorders>
            <w:vAlign w:val="bottom"/>
          </w:tcPr>
          <w:p>
            <w:pPr>
              <w:pStyle w:val="TableContents"/>
              <w:bidi w:val="0"/>
              <w:spacing w:before="0" w:after="283"/>
              <w:jc w:val="left"/>
              <w:rPr/>
            </w:pPr>
            <w:r>
              <w:rPr/>
              <w:t> </w:t>
            </w:r>
          </w:p>
        </w:tc>
        <w:tc>
          <w:tcPr>
            <w:tcW w:w="126" w:type="dxa"/>
            <w:tcBorders>
              <w:bottom w:val="double" w:sz="8" w:space="0" w:color="000000"/>
            </w:tcBorders>
            <w:vAlign w:val="bottom"/>
          </w:tcPr>
          <w:p>
            <w:pPr>
              <w:pStyle w:val="TableContents"/>
              <w:bidi w:val="0"/>
              <w:spacing w:before="0" w:after="283"/>
              <w:jc w:val="left"/>
              <w:rPr/>
            </w:pPr>
            <w:r>
              <w:rPr/>
              <w:t> </w:t>
            </w:r>
          </w:p>
        </w:tc>
        <w:tc>
          <w:tcPr>
            <w:tcW w:w="959" w:type="dxa"/>
            <w:tcBorders>
              <w:bottom w:val="double" w:sz="8" w:space="0" w:color="000000"/>
            </w:tcBorders>
            <w:vAlign w:val="bottom"/>
          </w:tcPr>
          <w:p>
            <w:pPr>
              <w:pStyle w:val="TableContents"/>
              <w:bidi w:val="0"/>
              <w:spacing w:before="0" w:after="0"/>
              <w:jc w:val="right"/>
              <w:rPr>
                <w:b/>
                <w:sz w:val="20"/>
              </w:rPr>
            </w:pPr>
            <w:r>
              <w:rPr>
                <w:b/>
                <w:sz w:val="20"/>
              </w:rPr>
              <w:t>(12,492</w:t>
            </w:r>
          </w:p>
        </w:tc>
        <w:tc>
          <w:tcPr>
            <w:tcW w:w="80" w:type="dxa"/>
            <w:tcBorders>
              <w:bottom w:val="double" w:sz="8" w:space="0" w:color="000000"/>
            </w:tcBorders>
            <w:vAlign w:val="bottom"/>
          </w:tcPr>
          <w:p>
            <w:pPr>
              <w:pStyle w:val="TableContents"/>
              <w:bidi w:val="0"/>
              <w:spacing w:before="0" w:after="0"/>
              <w:jc w:val="left"/>
              <w:rPr>
                <w:b/>
                <w:sz w:val="20"/>
              </w:rPr>
            </w:pPr>
            <w:r>
              <w:rPr>
                <w:b/>
                <w:sz w:val="20"/>
              </w:rPr>
              <w:t>)</w:t>
            </w:r>
          </w:p>
        </w:tc>
        <w:tc>
          <w:tcPr>
            <w:tcW w:w="60" w:type="dxa"/>
            <w:tcBorders>
              <w:bottom w:val="double" w:sz="8" w:space="0" w:color="000000"/>
            </w:tcBorders>
            <w:vAlign w:val="bottom"/>
          </w:tcPr>
          <w:p>
            <w:pPr>
              <w:pStyle w:val="TableContents"/>
              <w:bidi w:val="0"/>
              <w:spacing w:before="0" w:after="283"/>
              <w:jc w:val="left"/>
              <w:rPr/>
            </w:pPr>
            <w:r>
              <w:rPr/>
              <w:t> </w:t>
            </w:r>
          </w:p>
        </w:tc>
        <w:tc>
          <w:tcPr>
            <w:tcW w:w="151" w:type="dxa"/>
            <w:tcBorders>
              <w:bottom w:val="double" w:sz="8" w:space="0" w:color="000000"/>
            </w:tcBorders>
            <w:vAlign w:val="bottom"/>
          </w:tcPr>
          <w:p>
            <w:pPr>
              <w:pStyle w:val="TableContents"/>
              <w:bidi w:val="0"/>
              <w:spacing w:before="0" w:after="283"/>
              <w:jc w:val="left"/>
              <w:rPr/>
            </w:pPr>
            <w:r>
              <w:rPr/>
              <w:t> </w:t>
            </w:r>
          </w:p>
        </w:tc>
        <w:tc>
          <w:tcPr>
            <w:tcW w:w="1639" w:type="dxa"/>
            <w:tcBorders>
              <w:bottom w:val="double" w:sz="8" w:space="0" w:color="000000"/>
            </w:tcBorders>
            <w:vAlign w:val="bottom"/>
          </w:tcPr>
          <w:p>
            <w:pPr>
              <w:pStyle w:val="TableContents"/>
              <w:bidi w:val="0"/>
              <w:spacing w:before="0" w:after="0"/>
              <w:jc w:val="right"/>
              <w:rPr>
                <w:b/>
                <w:sz w:val="20"/>
              </w:rPr>
            </w:pPr>
            <w:r>
              <w:rPr>
                <w:b/>
                <w:sz w:val="20"/>
              </w:rPr>
              <w:t>(19,818</w:t>
            </w:r>
          </w:p>
        </w:tc>
        <w:tc>
          <w:tcPr>
            <w:tcW w:w="80" w:type="dxa"/>
            <w:tcBorders>
              <w:bottom w:val="double" w:sz="8" w:space="0" w:color="000000"/>
            </w:tcBorders>
            <w:vAlign w:val="bottom"/>
          </w:tcPr>
          <w:p>
            <w:pPr>
              <w:pStyle w:val="TableContents"/>
              <w:bidi w:val="0"/>
              <w:spacing w:before="0" w:after="0"/>
              <w:jc w:val="left"/>
              <w:rPr>
                <w:b/>
                <w:sz w:val="20"/>
              </w:rPr>
            </w:pPr>
            <w:r>
              <w:rPr>
                <w:b/>
                <w:sz w:val="20"/>
              </w:rPr>
              <w:t>)</w:t>
            </w:r>
          </w:p>
        </w:tc>
        <w:tc>
          <w:tcPr>
            <w:tcW w:w="60" w:type="dxa"/>
            <w:tcBorders>
              <w:bottom w:val="double" w:sz="8" w:space="0" w:color="000000"/>
            </w:tcBorders>
            <w:vAlign w:val="bottom"/>
          </w:tcPr>
          <w:p>
            <w:pPr>
              <w:pStyle w:val="TableContents"/>
              <w:bidi w:val="0"/>
              <w:spacing w:before="0" w:after="283"/>
              <w:jc w:val="left"/>
              <w:rPr/>
            </w:pPr>
            <w:r>
              <w:rPr/>
              <w:t> </w:t>
            </w:r>
          </w:p>
        </w:tc>
        <w:tc>
          <w:tcPr>
            <w:tcW w:w="226" w:type="dxa"/>
            <w:tcBorders>
              <w:bottom w:val="double" w:sz="8" w:space="0" w:color="000000"/>
            </w:tcBorders>
            <w:vAlign w:val="bottom"/>
          </w:tcPr>
          <w:p>
            <w:pPr>
              <w:pStyle w:val="TableContents"/>
              <w:bidi w:val="0"/>
              <w:spacing w:before="0" w:after="283"/>
              <w:jc w:val="left"/>
              <w:rPr/>
            </w:pPr>
            <w:r>
              <w:rPr/>
              <w:t> </w:t>
            </w:r>
          </w:p>
        </w:tc>
        <w:tc>
          <w:tcPr>
            <w:tcW w:w="1834" w:type="dxa"/>
            <w:tcBorders>
              <w:bottom w:val="double" w:sz="8" w:space="0" w:color="000000"/>
            </w:tcBorders>
            <w:vAlign w:val="bottom"/>
          </w:tcPr>
          <w:p>
            <w:pPr>
              <w:pStyle w:val="TableContents"/>
              <w:bidi w:val="0"/>
              <w:spacing w:before="0" w:after="0"/>
              <w:jc w:val="right"/>
              <w:rPr>
                <w:b/>
                <w:sz w:val="20"/>
              </w:rPr>
            </w:pPr>
            <w:r>
              <w:rPr>
                <w:b/>
                <w:sz w:val="20"/>
              </w:rPr>
              <w:t>3,936</w:t>
            </w:r>
          </w:p>
        </w:tc>
        <w:tc>
          <w:tcPr>
            <w:tcW w:w="60" w:type="dxa"/>
            <w:tcBorders>
              <w:bottom w:val="double" w:sz="8" w:space="0" w:color="000000"/>
            </w:tcBorders>
            <w:vAlign w:val="bottom"/>
          </w:tcPr>
          <w:p>
            <w:pPr>
              <w:pStyle w:val="TableContents"/>
              <w:bidi w:val="0"/>
              <w:spacing w:before="0" w:after="283"/>
              <w:jc w:val="left"/>
              <w:rPr/>
            </w:pPr>
            <w:r>
              <w:rPr/>
              <w:t> </w:t>
            </w:r>
          </w:p>
        </w:tc>
        <w:tc>
          <w:tcPr>
            <w:tcW w:w="60" w:type="dxa"/>
            <w:tcBorders>
              <w:bottom w:val="double" w:sz="8" w:space="0" w:color="000000"/>
            </w:tcBorders>
            <w:vAlign w:val="bottom"/>
          </w:tcPr>
          <w:p>
            <w:pPr>
              <w:pStyle w:val="TableContents"/>
              <w:bidi w:val="0"/>
              <w:spacing w:before="0" w:after="283"/>
              <w:jc w:val="left"/>
              <w:rPr/>
            </w:pPr>
            <w:r>
              <w:rPr/>
              <w:t> </w:t>
            </w:r>
          </w:p>
        </w:tc>
        <w:tc>
          <w:tcPr>
            <w:tcW w:w="60" w:type="dxa"/>
            <w:tcBorders>
              <w:bottom w:val="double" w:sz="8" w:space="0" w:color="000000"/>
            </w:tcBorders>
            <w:vAlign w:val="bottom"/>
          </w:tcPr>
          <w:p>
            <w:pPr>
              <w:pStyle w:val="TableContents"/>
              <w:bidi w:val="0"/>
              <w:spacing w:before="0" w:after="283"/>
              <w:jc w:val="left"/>
              <w:rPr/>
            </w:pPr>
            <w:r>
              <w:rPr/>
              <w:t> </w:t>
            </w:r>
          </w:p>
        </w:tc>
        <w:tc>
          <w:tcPr>
            <w:tcW w:w="680" w:type="dxa"/>
            <w:tcBorders>
              <w:bottom w:val="double" w:sz="8" w:space="0" w:color="000000"/>
            </w:tcBorders>
            <w:vAlign w:val="bottom"/>
          </w:tcPr>
          <w:p>
            <w:pPr>
              <w:pStyle w:val="TableContents"/>
              <w:bidi w:val="0"/>
              <w:spacing w:before="0" w:after="0"/>
              <w:jc w:val="center"/>
              <w:rPr>
                <w:b/>
                <w:sz w:val="20"/>
              </w:rPr>
            </w:pPr>
            <w:r>
              <w:rPr>
                <w:b/>
                <w:sz w:val="20"/>
              </w:rPr>
            </w:r>
          </w:p>
        </w:tc>
        <w:tc>
          <w:tcPr>
            <w:tcW w:w="60" w:type="dxa"/>
            <w:tcBorders>
              <w:bottom w:val="double" w:sz="8" w:space="0" w:color="000000"/>
            </w:tcBorders>
            <w:vAlign w:val="bottom"/>
          </w:tcPr>
          <w:p>
            <w:pPr>
              <w:pStyle w:val="TableContents"/>
              <w:bidi w:val="0"/>
              <w:spacing w:before="0" w:after="0"/>
              <w:jc w:val="center"/>
              <w:rPr>
                <w:b/>
                <w:sz w:val="20"/>
              </w:rPr>
            </w:pPr>
            <w:r>
              <w:rPr>
                <w:b/>
                <w:sz w:val="20"/>
              </w:rPr>
            </w:r>
          </w:p>
        </w:tc>
        <w:tc>
          <w:tcPr>
            <w:tcW w:w="60" w:type="dxa"/>
            <w:tcBorders>
              <w:bottom w:val="double" w:sz="8" w:space="0" w:color="000000"/>
            </w:tcBorders>
            <w:vAlign w:val="bottom"/>
          </w:tcPr>
          <w:p>
            <w:pPr>
              <w:pStyle w:val="TableContents"/>
              <w:bidi w:val="0"/>
              <w:spacing w:before="0" w:after="283"/>
              <w:jc w:val="left"/>
              <w:rPr/>
            </w:pPr>
            <w:r>
              <w:rPr/>
              <w:t> </w:t>
            </w:r>
          </w:p>
        </w:tc>
        <w:tc>
          <w:tcPr>
            <w:tcW w:w="125" w:type="dxa"/>
            <w:tcBorders>
              <w:bottom w:val="double" w:sz="8" w:space="0" w:color="000000"/>
            </w:tcBorders>
            <w:vAlign w:val="bottom"/>
          </w:tcPr>
          <w:p>
            <w:pPr>
              <w:pStyle w:val="TableContents"/>
              <w:bidi w:val="0"/>
              <w:spacing w:before="0" w:after="283"/>
              <w:jc w:val="left"/>
              <w:rPr/>
            </w:pPr>
            <w:r>
              <w:rPr/>
              <w:t> </w:t>
            </w:r>
          </w:p>
        </w:tc>
        <w:tc>
          <w:tcPr>
            <w:tcW w:w="1055" w:type="dxa"/>
            <w:tcBorders>
              <w:bottom w:val="double" w:sz="8" w:space="0" w:color="000000"/>
            </w:tcBorders>
            <w:vAlign w:val="bottom"/>
          </w:tcPr>
          <w:p>
            <w:pPr>
              <w:pStyle w:val="TableContents"/>
              <w:bidi w:val="0"/>
              <w:spacing w:before="0" w:after="0"/>
              <w:jc w:val="right"/>
              <w:rPr>
                <w:b/>
                <w:sz w:val="20"/>
              </w:rPr>
            </w:pPr>
            <w:r>
              <w:rPr>
                <w:b/>
                <w:sz w:val="20"/>
              </w:rPr>
              <w:t>(15,882</w:t>
            </w:r>
          </w:p>
        </w:tc>
        <w:tc>
          <w:tcPr>
            <w:tcW w:w="80" w:type="dxa"/>
            <w:tcBorders/>
            <w:tcMar>
              <w:bottom w:w="0" w:type="dxa"/>
            </w:tcMar>
            <w:vAlign w:val="bottom"/>
          </w:tcPr>
          <w:p>
            <w:pPr>
              <w:pStyle w:val="TableContents"/>
              <w:bidi w:val="0"/>
              <w:spacing w:before="0" w:after="0"/>
              <w:jc w:val="left"/>
              <w:rPr>
                <w:b/>
                <w:sz w:val="20"/>
              </w:rPr>
            </w:pPr>
            <w:r>
              <w:rPr>
                <w:b/>
                <w:sz w:val="20"/>
              </w:rPr>
              <w:t>)</w:t>
            </w:r>
          </w:p>
        </w:tc>
      </w:tr>
    </w:tbl>
    <w:p>
      <w:pPr>
        <w:pStyle w:val="TextBody"/>
        <w:bidi w:val="0"/>
        <w:spacing w:before="0" w:after="0"/>
        <w:jc w:val="center"/>
        <w:rPr>
          <w:i/>
        </w:rPr>
      </w:pPr>
      <w:r>
        <w:rPr>
          <w:i/>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See accompanying notes to the unaudited pro forma condensed combined financial information.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 Pro Forma Condensed Combined Statement of Operations</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For the Year Ended December 31, 2025</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(U.S. dollars in thousands, except share and per share data)</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7" w:name="zdab1471d9c9a42289d088f55eeee51d6"/>
      <w:bookmarkStart w:id="198" w:name="zdab1471d9c9a42289d088f55eeee51d6"/>
      <w:bookmarkEnd w:id="198"/>
    </w:p>
    <w:tbl>
      <w:tblPr>
        <w:tblW w:w="18965" w:type="dxa"/>
        <w:jc w:val="left"/>
        <w:tblInd w:w="0" w:type="dxa"/>
        <w:tblLayout w:type="fixed"/>
        <w:tblCellMar>
          <w:top w:w="0" w:type="dxa"/>
          <w:left w:w="0" w:type="dxa"/>
          <w:bottom w:w="28" w:type="dxa"/>
          <w:right w:w="0" w:type="dxa"/>
        </w:tblCellMar>
      </w:tblPr>
      <w:tblGrid>
        <w:gridCol w:w="7370"/>
        <w:gridCol w:w="60"/>
        <w:gridCol w:w="250"/>
        <w:gridCol w:w="2185"/>
        <w:gridCol w:w="95"/>
        <w:gridCol w:w="60"/>
        <w:gridCol w:w="149"/>
        <w:gridCol w:w="1176"/>
        <w:gridCol w:w="95"/>
        <w:gridCol w:w="60"/>
        <w:gridCol w:w="151"/>
        <w:gridCol w:w="2014"/>
        <w:gridCol w:w="95"/>
        <w:gridCol w:w="60"/>
        <w:gridCol w:w="201"/>
        <w:gridCol w:w="2279"/>
        <w:gridCol w:w="155"/>
        <w:gridCol w:w="60"/>
        <w:gridCol w:w="60"/>
        <w:gridCol w:w="815"/>
        <w:gridCol w:w="60"/>
        <w:gridCol w:w="60"/>
        <w:gridCol w:w="140"/>
        <w:gridCol w:w="1220"/>
        <w:gridCol w:w="95"/>
      </w:tblGrid>
      <w:tr>
        <w:trPr/>
        <w:tc>
          <w:tcPr>
            <w:tcW w:w="737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435" w:type="dxa"/>
            <w:gridSpan w:val="2"/>
            <w:tcBorders>
              <w:bottom w:val="single" w:sz="12" w:space="0" w:color="000000"/>
            </w:tcBorders>
            <w:vAlign w:val="bottom"/>
          </w:tcPr>
          <w:p>
            <w:pPr>
              <w:pStyle w:val="TableContents"/>
              <w:bidi w:val="0"/>
              <w:spacing w:before="0" w:after="0"/>
              <w:jc w:val="center"/>
              <w:rPr>
                <w:b/>
              </w:rPr>
            </w:pPr>
            <w:r>
              <w:rPr>
                <w:b/>
              </w:rPr>
              <w:t>Gyre Therapeutics, Inc.</w:t>
            </w:r>
          </w:p>
          <w:p>
            <w:pPr>
              <w:pStyle w:val="TableContents"/>
              <w:bidi w:val="0"/>
              <w:spacing w:before="0" w:after="0"/>
              <w:jc w:val="center"/>
              <w:rPr>
                <w:b/>
              </w:rPr>
            </w:pPr>
            <w:r>
              <w:rPr>
                <w:b/>
              </w:rPr>
              <w:t>(Historical)</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325" w:type="dxa"/>
            <w:gridSpan w:val="2"/>
            <w:tcBorders>
              <w:bottom w:val="single" w:sz="12" w:space="0" w:color="000000"/>
            </w:tcBorders>
            <w:vAlign w:val="bottom"/>
          </w:tcPr>
          <w:p>
            <w:pPr>
              <w:pStyle w:val="TableContents"/>
              <w:bidi w:val="0"/>
              <w:spacing w:before="0" w:after="0"/>
              <w:jc w:val="center"/>
              <w:rPr>
                <w:b/>
              </w:rPr>
            </w:pPr>
            <w:r>
              <w:rPr>
                <w:b/>
              </w:rPr>
              <w:t>Cullgen, Inc.</w:t>
            </w:r>
          </w:p>
          <w:p>
            <w:pPr>
              <w:pStyle w:val="TableContents"/>
              <w:bidi w:val="0"/>
              <w:spacing w:before="0" w:after="0"/>
              <w:jc w:val="center"/>
              <w:rPr>
                <w:b/>
              </w:rPr>
            </w:pPr>
            <w:r>
              <w:rPr>
                <w:b/>
              </w:rPr>
              <w:t>(Historical)</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165" w:type="dxa"/>
            <w:gridSpan w:val="2"/>
            <w:tcBorders>
              <w:bottom w:val="single" w:sz="12" w:space="0" w:color="000000"/>
            </w:tcBorders>
            <w:vAlign w:val="bottom"/>
          </w:tcPr>
          <w:p>
            <w:pPr>
              <w:pStyle w:val="TableContents"/>
              <w:bidi w:val="0"/>
              <w:spacing w:before="0" w:after="0"/>
              <w:jc w:val="center"/>
              <w:rPr>
                <w:b/>
              </w:rPr>
            </w:pPr>
            <w:r>
              <w:rPr>
                <w:b/>
              </w:rPr>
              <w:t>Historical Combined</w:t>
            </w:r>
          </w:p>
          <w:p>
            <w:pPr>
              <w:pStyle w:val="TableContents"/>
              <w:bidi w:val="0"/>
              <w:spacing w:before="0" w:after="0"/>
              <w:jc w:val="center"/>
              <w:rPr>
                <w:b/>
              </w:rPr>
            </w:pPr>
            <w:r>
              <w:rPr>
                <w:b/>
              </w:rPr>
              <w:t>Prior to Adjustments</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480" w:type="dxa"/>
            <w:gridSpan w:val="2"/>
            <w:tcBorders>
              <w:bottom w:val="single" w:sz="12" w:space="0" w:color="000000"/>
            </w:tcBorders>
            <w:vAlign w:val="bottom"/>
          </w:tcPr>
          <w:p>
            <w:pPr>
              <w:pStyle w:val="TableContents"/>
              <w:bidi w:val="0"/>
              <w:spacing w:before="0" w:after="0"/>
              <w:jc w:val="center"/>
              <w:rPr>
                <w:b/>
              </w:rPr>
            </w:pPr>
            <w:r>
              <w:rPr>
                <w:b/>
              </w:rPr>
              <w:t>Transaction Accounting</w:t>
            </w:r>
          </w:p>
          <w:p>
            <w:pPr>
              <w:pStyle w:val="TableContents"/>
              <w:bidi w:val="0"/>
              <w:spacing w:before="0" w:after="0"/>
              <w:jc w:val="center"/>
              <w:rPr>
                <w:b/>
              </w:rPr>
            </w:pPr>
            <w:r>
              <w:rPr>
                <w:b/>
              </w:rPr>
              <w:t>Adjustments</w:t>
            </w:r>
          </w:p>
        </w:tc>
        <w:tc>
          <w:tcPr>
            <w:tcW w:w="15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875" w:type="dxa"/>
            <w:gridSpan w:val="2"/>
            <w:tcBorders>
              <w:bottom w:val="single" w:sz="12" w:space="0" w:color="000000"/>
            </w:tcBorders>
            <w:vAlign w:val="bottom"/>
          </w:tcPr>
          <w:p>
            <w:pPr>
              <w:pStyle w:val="TableContents"/>
              <w:bidi w:val="0"/>
              <w:spacing w:before="0" w:after="0"/>
              <w:jc w:val="center"/>
              <w:rPr>
                <w:b/>
              </w:rPr>
            </w:pPr>
            <w:r>
              <w:rPr>
                <w:b/>
              </w:rPr>
              <w:t>Note</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360" w:type="dxa"/>
            <w:gridSpan w:val="2"/>
            <w:tcBorders>
              <w:bottom w:val="single" w:sz="12" w:space="0" w:color="000000"/>
            </w:tcBorders>
            <w:vAlign w:val="bottom"/>
          </w:tcPr>
          <w:p>
            <w:pPr>
              <w:pStyle w:val="TableContents"/>
              <w:bidi w:val="0"/>
              <w:spacing w:before="0" w:after="0"/>
              <w:jc w:val="center"/>
              <w:rPr>
                <w:b/>
              </w:rPr>
            </w:pPr>
            <w:r>
              <w:rPr>
                <w:b/>
              </w:rPr>
              <w:t xml:space="preserve">Pro Forma </w:t>
            </w:r>
          </w:p>
          <w:p>
            <w:pPr>
              <w:pStyle w:val="TableContents"/>
              <w:bidi w:val="0"/>
              <w:spacing w:before="0" w:after="0"/>
              <w:jc w:val="center"/>
              <w:rPr>
                <w:b/>
              </w:rPr>
            </w:pPr>
            <w:r>
              <w:rPr>
                <w:b/>
              </w:rPr>
              <w:t>Combined</w:t>
            </w:r>
          </w:p>
        </w:tc>
        <w:tc>
          <w:tcPr>
            <w:tcW w:w="95" w:type="dxa"/>
            <w:tcBorders/>
            <w:tcMar>
              <w:bottom w:w="0" w:type="dxa"/>
            </w:tcMar>
            <w:vAlign w:val="bottom"/>
          </w:tcPr>
          <w:p>
            <w:pPr>
              <w:pStyle w:val="TableContents"/>
              <w:bidi w:val="0"/>
              <w:spacing w:before="0" w:after="283"/>
              <w:jc w:val="left"/>
              <w:rPr/>
            </w:pPr>
            <w:r>
              <w:rPr/>
              <w:t> </w:t>
            </w:r>
          </w:p>
        </w:tc>
      </w:tr>
      <w:tr>
        <w:trPr/>
        <w:tc>
          <w:tcPr>
            <w:tcW w:w="7370" w:type="dxa"/>
            <w:tcBorders/>
            <w:shd w:fill="CCEEFF" w:val="clear"/>
            <w:tcMar>
              <w:bottom w:w="0" w:type="dxa"/>
            </w:tcMar>
            <w:vAlign w:val="bottom"/>
          </w:tcPr>
          <w:p>
            <w:pPr>
              <w:pStyle w:val="TableContents"/>
              <w:bidi w:val="0"/>
              <w:spacing w:before="0" w:after="0"/>
              <w:jc w:val="left"/>
              <w:rPr/>
            </w:pPr>
            <w:r>
              <w:rPr/>
              <w:t>Revenues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50" w:type="dxa"/>
            <w:tcBorders/>
            <w:shd w:fill="CCEEFF" w:val="clear"/>
            <w:tcMar>
              <w:bottom w:w="0" w:type="dxa"/>
            </w:tcMar>
            <w:vAlign w:val="bottom"/>
          </w:tcPr>
          <w:p>
            <w:pPr>
              <w:pStyle w:val="TableContents"/>
              <w:bidi w:val="0"/>
              <w:spacing w:before="0" w:after="283"/>
              <w:jc w:val="left"/>
              <w:rPr/>
            </w:pPr>
            <w:r>
              <w:rPr/>
              <w:t> </w:t>
            </w:r>
          </w:p>
        </w:tc>
        <w:tc>
          <w:tcPr>
            <w:tcW w:w="2185" w:type="dxa"/>
            <w:tcBorders/>
            <w:shd w:fill="CCEEFF" w:val="clear"/>
            <w:tcMar>
              <w:bottom w:w="0" w:type="dxa"/>
            </w:tcMar>
            <w:vAlign w:val="bottom"/>
          </w:tcPr>
          <w:p>
            <w:pPr>
              <w:pStyle w:val="TableContents"/>
              <w:bidi w:val="0"/>
              <w:spacing w:before="0" w:after="0"/>
              <w:jc w:val="right"/>
              <w:rPr/>
            </w:pPr>
            <w:r>
              <w:rPr/>
              <w:t>116,588</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9" w:type="dxa"/>
            <w:tcBorders/>
            <w:shd w:fill="CCEEFF" w:val="clear"/>
            <w:tcMar>
              <w:bottom w:w="0" w:type="dxa"/>
            </w:tcMar>
            <w:vAlign w:val="bottom"/>
          </w:tcPr>
          <w:p>
            <w:pPr>
              <w:pStyle w:val="TableContents"/>
              <w:bidi w:val="0"/>
              <w:spacing w:before="0" w:after="283"/>
              <w:jc w:val="left"/>
              <w:rPr/>
            </w:pPr>
            <w:r>
              <w:rPr/>
              <w:t> </w:t>
            </w:r>
          </w:p>
        </w:tc>
        <w:tc>
          <w:tcPr>
            <w:tcW w:w="1176" w:type="dxa"/>
            <w:tcBorders/>
            <w:shd w:fill="CCEEFF" w:val="clear"/>
            <w:tcMar>
              <w:bottom w:w="0" w:type="dxa"/>
            </w:tcMar>
            <w:vAlign w:val="bottom"/>
          </w:tcPr>
          <w:p>
            <w:pPr>
              <w:pStyle w:val="TableContents"/>
              <w:bidi w:val="0"/>
              <w:spacing w:before="0" w:after="0"/>
              <w:jc w:val="right"/>
              <w:rPr/>
            </w:pPr>
            <w:r>
              <w:rPr/>
              <w:t>15,373</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2014" w:type="dxa"/>
            <w:tcBorders/>
            <w:shd w:fill="CCEEFF" w:val="clear"/>
            <w:tcMar>
              <w:bottom w:w="0" w:type="dxa"/>
            </w:tcMar>
            <w:vAlign w:val="bottom"/>
          </w:tcPr>
          <w:p>
            <w:pPr>
              <w:pStyle w:val="TableContents"/>
              <w:bidi w:val="0"/>
              <w:spacing w:before="0" w:after="0"/>
              <w:jc w:val="right"/>
              <w:rPr/>
            </w:pPr>
            <w:r>
              <w:rPr/>
              <w:t>131,961</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2279" w:type="dxa"/>
            <w:tcBorders/>
            <w:shd w:fill="CCEEFF" w:val="clear"/>
            <w:tcMar>
              <w:bottom w:w="0" w:type="dxa"/>
            </w:tcMar>
            <w:vAlign w:val="bottom"/>
          </w:tcPr>
          <w:p>
            <w:pPr>
              <w:pStyle w:val="TableContents"/>
              <w:bidi w:val="0"/>
              <w:spacing w:before="0" w:after="0"/>
              <w:jc w:val="right"/>
              <w:rPr/>
            </w:pPr>
            <w:r>
              <w:rPr/>
              <w:t>-</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75" w:type="dxa"/>
            <w:gridSpan w:val="2"/>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1220" w:type="dxa"/>
            <w:tcBorders/>
            <w:shd w:fill="CCEEFF" w:val="clear"/>
            <w:tcMar>
              <w:bottom w:w="0" w:type="dxa"/>
            </w:tcMar>
            <w:vAlign w:val="bottom"/>
          </w:tcPr>
          <w:p>
            <w:pPr>
              <w:pStyle w:val="TableContents"/>
              <w:bidi w:val="0"/>
              <w:spacing w:before="0" w:after="0"/>
              <w:jc w:val="right"/>
              <w:rPr/>
            </w:pPr>
            <w:r>
              <w:rPr/>
              <w:t>131,961</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7370" w:type="dxa"/>
            <w:tcBorders/>
            <w:tcMar>
              <w:bottom w:w="0" w:type="dxa"/>
            </w:tcMar>
            <w:vAlign w:val="bottom"/>
          </w:tcPr>
          <w:p>
            <w:pPr>
              <w:pStyle w:val="TableContents"/>
              <w:bidi w:val="0"/>
              <w:spacing w:before="0" w:after="0"/>
              <w:jc w:val="left"/>
              <w:rPr>
                <w:b/>
              </w:rPr>
            </w:pPr>
            <w:r>
              <w:rPr>
                <w:b/>
              </w:rPr>
              <w:t>Operating expenses:</w:t>
            </w:r>
          </w:p>
        </w:tc>
        <w:tc>
          <w:tcPr>
            <w:tcW w:w="60" w:type="dxa"/>
            <w:tcBorders/>
            <w:tcMar>
              <w:bottom w:w="0" w:type="dxa"/>
            </w:tcMar>
            <w:vAlign w:val="bottom"/>
          </w:tcPr>
          <w:p>
            <w:pPr>
              <w:pStyle w:val="TableContents"/>
              <w:bidi w:val="0"/>
              <w:spacing w:before="0" w:after="283"/>
              <w:jc w:val="left"/>
              <w:rPr/>
            </w:pPr>
            <w:r>
              <w:rPr/>
              <w:t> </w:t>
            </w:r>
          </w:p>
        </w:tc>
        <w:tc>
          <w:tcPr>
            <w:tcW w:w="250" w:type="dxa"/>
            <w:tcBorders/>
            <w:tcMar>
              <w:bottom w:w="0" w:type="dxa"/>
            </w:tcMar>
            <w:vAlign w:val="bottom"/>
          </w:tcPr>
          <w:p>
            <w:pPr>
              <w:pStyle w:val="TableContents"/>
              <w:bidi w:val="0"/>
              <w:spacing w:before="0" w:after="283"/>
              <w:jc w:val="left"/>
              <w:rPr/>
            </w:pPr>
            <w:r>
              <w:rPr/>
              <w:t> </w:t>
            </w:r>
          </w:p>
        </w:tc>
        <w:tc>
          <w:tcPr>
            <w:tcW w:w="2185"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9" w:type="dxa"/>
            <w:tcBorders/>
            <w:tcMar>
              <w:bottom w:w="0" w:type="dxa"/>
            </w:tcMar>
            <w:vAlign w:val="bottom"/>
          </w:tcPr>
          <w:p>
            <w:pPr>
              <w:pStyle w:val="TableContents"/>
              <w:bidi w:val="0"/>
              <w:spacing w:before="0" w:after="283"/>
              <w:jc w:val="left"/>
              <w:rPr/>
            </w:pPr>
            <w:r>
              <w:rPr/>
              <w:t> </w:t>
            </w:r>
          </w:p>
        </w:tc>
        <w:tc>
          <w:tcPr>
            <w:tcW w:w="1176"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1" w:type="dxa"/>
            <w:tcBorders/>
            <w:tcMar>
              <w:bottom w:w="0" w:type="dxa"/>
            </w:tcMar>
            <w:vAlign w:val="bottom"/>
          </w:tcPr>
          <w:p>
            <w:pPr>
              <w:pStyle w:val="TableContents"/>
              <w:bidi w:val="0"/>
              <w:spacing w:before="0" w:after="283"/>
              <w:jc w:val="left"/>
              <w:rPr/>
            </w:pPr>
            <w:r>
              <w:rPr/>
              <w:t> </w:t>
            </w:r>
          </w:p>
        </w:tc>
        <w:tc>
          <w:tcPr>
            <w:tcW w:w="2014"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1" w:type="dxa"/>
            <w:tcBorders/>
            <w:tcMar>
              <w:bottom w:w="0" w:type="dxa"/>
            </w:tcMar>
            <w:vAlign w:val="bottom"/>
          </w:tcPr>
          <w:p>
            <w:pPr>
              <w:pStyle w:val="TableContents"/>
              <w:bidi w:val="0"/>
              <w:spacing w:before="0" w:after="283"/>
              <w:jc w:val="left"/>
              <w:rPr/>
            </w:pPr>
            <w:r>
              <w:rPr/>
              <w:t> </w:t>
            </w:r>
          </w:p>
        </w:tc>
        <w:tc>
          <w:tcPr>
            <w:tcW w:w="2279"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75"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0" w:type="dxa"/>
            <w:tcBorders/>
            <w:tcMar>
              <w:bottom w:w="0" w:type="dxa"/>
            </w:tcMar>
            <w:vAlign w:val="bottom"/>
          </w:tcPr>
          <w:p>
            <w:pPr>
              <w:pStyle w:val="TableContents"/>
              <w:bidi w:val="0"/>
              <w:spacing w:before="0" w:after="283"/>
              <w:jc w:val="left"/>
              <w:rPr/>
            </w:pPr>
            <w:r>
              <w:rPr/>
              <w:t> </w:t>
            </w:r>
          </w:p>
        </w:tc>
        <w:tc>
          <w:tcPr>
            <w:tcW w:w="1220"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r>
      <w:tr>
        <w:trPr/>
        <w:tc>
          <w:tcPr>
            <w:tcW w:w="7370" w:type="dxa"/>
            <w:tcBorders/>
            <w:shd w:fill="CCEEFF" w:val="clear"/>
            <w:tcMar>
              <w:bottom w:w="0" w:type="dxa"/>
            </w:tcMar>
            <w:vAlign w:val="bottom"/>
          </w:tcPr>
          <w:p>
            <w:pPr>
              <w:pStyle w:val="TableContents"/>
              <w:bidi w:val="0"/>
              <w:spacing w:before="0" w:after="0"/>
              <w:jc w:val="left"/>
              <w:rPr/>
            </w:pPr>
            <w:r>
              <w:rPr/>
              <w:t>Cost of revenues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50" w:type="dxa"/>
            <w:tcBorders/>
            <w:shd w:fill="CCEEFF" w:val="clear"/>
            <w:tcMar>
              <w:bottom w:w="0" w:type="dxa"/>
            </w:tcMar>
            <w:vAlign w:val="bottom"/>
          </w:tcPr>
          <w:p>
            <w:pPr>
              <w:pStyle w:val="TableContents"/>
              <w:bidi w:val="0"/>
              <w:spacing w:before="0" w:after="283"/>
              <w:jc w:val="left"/>
              <w:rPr/>
            </w:pPr>
            <w:r>
              <w:rPr/>
              <w:t> </w:t>
            </w:r>
          </w:p>
        </w:tc>
        <w:tc>
          <w:tcPr>
            <w:tcW w:w="2185" w:type="dxa"/>
            <w:tcBorders/>
            <w:shd w:fill="CCEEFF" w:val="clear"/>
            <w:tcMar>
              <w:bottom w:w="0" w:type="dxa"/>
            </w:tcMar>
            <w:vAlign w:val="bottom"/>
          </w:tcPr>
          <w:p>
            <w:pPr>
              <w:pStyle w:val="TableContents"/>
              <w:bidi w:val="0"/>
              <w:spacing w:before="0" w:after="0"/>
              <w:jc w:val="right"/>
              <w:rPr/>
            </w:pPr>
            <w:r>
              <w:rPr/>
              <w:t>5,416</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9" w:type="dxa"/>
            <w:tcBorders/>
            <w:shd w:fill="CCEEFF" w:val="clear"/>
            <w:tcMar>
              <w:bottom w:w="0" w:type="dxa"/>
            </w:tcMar>
            <w:vAlign w:val="bottom"/>
          </w:tcPr>
          <w:p>
            <w:pPr>
              <w:pStyle w:val="TableContents"/>
              <w:bidi w:val="0"/>
              <w:spacing w:before="0" w:after="283"/>
              <w:jc w:val="left"/>
              <w:rPr/>
            </w:pPr>
            <w:r>
              <w:rPr/>
              <w:t> </w:t>
            </w:r>
          </w:p>
        </w:tc>
        <w:tc>
          <w:tcPr>
            <w:tcW w:w="1176" w:type="dxa"/>
            <w:tcBorders/>
            <w:shd w:fill="CCEEFF" w:val="clear"/>
            <w:tcMar>
              <w:bottom w:w="0" w:type="dxa"/>
            </w:tcMar>
            <w:vAlign w:val="bottom"/>
          </w:tcPr>
          <w:p>
            <w:pPr>
              <w:pStyle w:val="TableContents"/>
              <w:bidi w:val="0"/>
              <w:spacing w:before="0" w:after="0"/>
              <w:jc w:val="right"/>
              <w:rPr/>
            </w:pPr>
            <w:r>
              <w:rPr/>
              <w:t>-</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2014" w:type="dxa"/>
            <w:tcBorders/>
            <w:shd w:fill="CCEEFF" w:val="clear"/>
            <w:tcMar>
              <w:bottom w:w="0" w:type="dxa"/>
            </w:tcMar>
            <w:vAlign w:val="bottom"/>
          </w:tcPr>
          <w:p>
            <w:pPr>
              <w:pStyle w:val="TableContents"/>
              <w:bidi w:val="0"/>
              <w:spacing w:before="0" w:after="0"/>
              <w:jc w:val="right"/>
              <w:rPr/>
            </w:pPr>
            <w:r>
              <w:rPr/>
              <w:t>5,416</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2279" w:type="dxa"/>
            <w:tcBorders/>
            <w:shd w:fill="CCEEFF" w:val="clear"/>
            <w:tcMar>
              <w:bottom w:w="0" w:type="dxa"/>
            </w:tcMar>
            <w:vAlign w:val="bottom"/>
          </w:tcPr>
          <w:p>
            <w:pPr>
              <w:pStyle w:val="TableContents"/>
              <w:bidi w:val="0"/>
              <w:spacing w:before="0" w:after="0"/>
              <w:jc w:val="right"/>
              <w:rPr/>
            </w:pPr>
            <w:r>
              <w:rPr/>
              <w:t>-</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75" w:type="dxa"/>
            <w:gridSpan w:val="2"/>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1220" w:type="dxa"/>
            <w:tcBorders/>
            <w:shd w:fill="CCEEFF" w:val="clear"/>
            <w:tcMar>
              <w:bottom w:w="0" w:type="dxa"/>
            </w:tcMar>
            <w:vAlign w:val="bottom"/>
          </w:tcPr>
          <w:p>
            <w:pPr>
              <w:pStyle w:val="TableContents"/>
              <w:bidi w:val="0"/>
              <w:spacing w:before="0" w:after="0"/>
              <w:jc w:val="right"/>
              <w:rPr/>
            </w:pPr>
            <w:r>
              <w:rPr/>
              <w:t>5,416</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7370" w:type="dxa"/>
            <w:tcBorders/>
            <w:tcMar>
              <w:bottom w:w="0" w:type="dxa"/>
            </w:tcMar>
            <w:vAlign w:val="bottom"/>
          </w:tcPr>
          <w:p>
            <w:pPr>
              <w:pStyle w:val="TableContents"/>
              <w:bidi w:val="0"/>
              <w:spacing w:before="0" w:after="0"/>
              <w:jc w:val="left"/>
              <w:rPr/>
            </w:pPr>
            <w:r>
              <w:rPr/>
              <w:t>Selling and marketing</w:t>
            </w:r>
          </w:p>
        </w:tc>
        <w:tc>
          <w:tcPr>
            <w:tcW w:w="60" w:type="dxa"/>
            <w:tcBorders/>
            <w:tcMar>
              <w:bottom w:w="0" w:type="dxa"/>
            </w:tcMar>
            <w:vAlign w:val="bottom"/>
          </w:tcPr>
          <w:p>
            <w:pPr>
              <w:pStyle w:val="TableContents"/>
              <w:bidi w:val="0"/>
              <w:spacing w:before="0" w:after="283"/>
              <w:jc w:val="left"/>
              <w:rPr/>
            </w:pPr>
            <w:r>
              <w:rPr/>
              <w:t> </w:t>
            </w:r>
          </w:p>
        </w:tc>
        <w:tc>
          <w:tcPr>
            <w:tcW w:w="250" w:type="dxa"/>
            <w:tcBorders/>
            <w:tcMar>
              <w:bottom w:w="0" w:type="dxa"/>
            </w:tcMar>
            <w:vAlign w:val="bottom"/>
          </w:tcPr>
          <w:p>
            <w:pPr>
              <w:pStyle w:val="TableContents"/>
              <w:bidi w:val="0"/>
              <w:spacing w:before="0" w:after="283"/>
              <w:jc w:val="left"/>
              <w:rPr/>
            </w:pPr>
            <w:r>
              <w:rPr/>
              <w:t> </w:t>
            </w:r>
          </w:p>
        </w:tc>
        <w:tc>
          <w:tcPr>
            <w:tcW w:w="2185" w:type="dxa"/>
            <w:tcBorders/>
            <w:tcMar>
              <w:bottom w:w="0" w:type="dxa"/>
            </w:tcMar>
            <w:vAlign w:val="bottom"/>
          </w:tcPr>
          <w:p>
            <w:pPr>
              <w:pStyle w:val="TableContents"/>
              <w:bidi w:val="0"/>
              <w:spacing w:before="0" w:after="0"/>
              <w:jc w:val="right"/>
              <w:rPr/>
            </w:pPr>
            <w:r>
              <w:rPr/>
              <w:t>65,179</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9" w:type="dxa"/>
            <w:tcBorders/>
            <w:tcMar>
              <w:bottom w:w="0" w:type="dxa"/>
            </w:tcMar>
            <w:vAlign w:val="bottom"/>
          </w:tcPr>
          <w:p>
            <w:pPr>
              <w:pStyle w:val="TableContents"/>
              <w:bidi w:val="0"/>
              <w:spacing w:before="0" w:after="283"/>
              <w:jc w:val="left"/>
              <w:rPr/>
            </w:pPr>
            <w:r>
              <w:rPr/>
              <w:t> </w:t>
            </w:r>
          </w:p>
        </w:tc>
        <w:tc>
          <w:tcPr>
            <w:tcW w:w="1176" w:type="dxa"/>
            <w:tcBorders/>
            <w:tcMar>
              <w:bottom w:w="0" w:type="dxa"/>
            </w:tcMar>
            <w:vAlign w:val="bottom"/>
          </w:tcPr>
          <w:p>
            <w:pPr>
              <w:pStyle w:val="TableContents"/>
              <w:bidi w:val="0"/>
              <w:spacing w:before="0" w:after="0"/>
              <w:jc w:val="right"/>
              <w:rPr/>
            </w:pPr>
            <w:r>
              <w:rPr/>
              <w:t>-</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1" w:type="dxa"/>
            <w:tcBorders/>
            <w:tcMar>
              <w:bottom w:w="0" w:type="dxa"/>
            </w:tcMar>
            <w:vAlign w:val="bottom"/>
          </w:tcPr>
          <w:p>
            <w:pPr>
              <w:pStyle w:val="TableContents"/>
              <w:bidi w:val="0"/>
              <w:spacing w:before="0" w:after="283"/>
              <w:jc w:val="left"/>
              <w:rPr/>
            </w:pPr>
            <w:r>
              <w:rPr/>
              <w:t> </w:t>
            </w:r>
          </w:p>
        </w:tc>
        <w:tc>
          <w:tcPr>
            <w:tcW w:w="2014" w:type="dxa"/>
            <w:tcBorders/>
            <w:tcMar>
              <w:bottom w:w="0" w:type="dxa"/>
            </w:tcMar>
            <w:vAlign w:val="bottom"/>
          </w:tcPr>
          <w:p>
            <w:pPr>
              <w:pStyle w:val="TableContents"/>
              <w:bidi w:val="0"/>
              <w:spacing w:before="0" w:after="0"/>
              <w:jc w:val="right"/>
              <w:rPr/>
            </w:pPr>
            <w:r>
              <w:rPr/>
              <w:t>65,179</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1" w:type="dxa"/>
            <w:tcBorders/>
            <w:tcMar>
              <w:bottom w:w="0" w:type="dxa"/>
            </w:tcMar>
            <w:vAlign w:val="bottom"/>
          </w:tcPr>
          <w:p>
            <w:pPr>
              <w:pStyle w:val="TableContents"/>
              <w:bidi w:val="0"/>
              <w:spacing w:before="0" w:after="283"/>
              <w:jc w:val="left"/>
              <w:rPr/>
            </w:pPr>
            <w:r>
              <w:rPr/>
              <w:t> </w:t>
            </w:r>
          </w:p>
        </w:tc>
        <w:tc>
          <w:tcPr>
            <w:tcW w:w="2279" w:type="dxa"/>
            <w:tcBorders/>
            <w:tcMar>
              <w:bottom w:w="0" w:type="dxa"/>
            </w:tcMar>
            <w:vAlign w:val="bottom"/>
          </w:tcPr>
          <w:p>
            <w:pPr>
              <w:pStyle w:val="TableContents"/>
              <w:bidi w:val="0"/>
              <w:spacing w:before="0" w:after="0"/>
              <w:jc w:val="right"/>
              <w:rPr/>
            </w:pPr>
            <w:r>
              <w:rPr/>
              <w:t>-</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75"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0" w:type="dxa"/>
            <w:tcBorders/>
            <w:tcMar>
              <w:bottom w:w="0" w:type="dxa"/>
            </w:tcMar>
            <w:vAlign w:val="bottom"/>
          </w:tcPr>
          <w:p>
            <w:pPr>
              <w:pStyle w:val="TableContents"/>
              <w:bidi w:val="0"/>
              <w:spacing w:before="0" w:after="283"/>
              <w:jc w:val="left"/>
              <w:rPr/>
            </w:pPr>
            <w:r>
              <w:rPr/>
              <w:t> </w:t>
            </w:r>
          </w:p>
        </w:tc>
        <w:tc>
          <w:tcPr>
            <w:tcW w:w="1220" w:type="dxa"/>
            <w:tcBorders/>
            <w:tcMar>
              <w:bottom w:w="0" w:type="dxa"/>
            </w:tcMar>
            <w:vAlign w:val="bottom"/>
          </w:tcPr>
          <w:p>
            <w:pPr>
              <w:pStyle w:val="TableContents"/>
              <w:bidi w:val="0"/>
              <w:spacing w:before="0" w:after="0"/>
              <w:jc w:val="right"/>
              <w:rPr/>
            </w:pPr>
            <w:r>
              <w:rPr/>
              <w:t>65,179</w:t>
            </w:r>
          </w:p>
        </w:tc>
        <w:tc>
          <w:tcPr>
            <w:tcW w:w="95" w:type="dxa"/>
            <w:tcBorders/>
            <w:tcMar>
              <w:bottom w:w="0" w:type="dxa"/>
            </w:tcMar>
            <w:vAlign w:val="bottom"/>
          </w:tcPr>
          <w:p>
            <w:pPr>
              <w:pStyle w:val="TableContents"/>
              <w:bidi w:val="0"/>
              <w:spacing w:before="0" w:after="283"/>
              <w:jc w:val="left"/>
              <w:rPr/>
            </w:pPr>
            <w:r>
              <w:rPr/>
              <w:t> </w:t>
            </w:r>
          </w:p>
        </w:tc>
      </w:tr>
      <w:tr>
        <w:trPr/>
        <w:tc>
          <w:tcPr>
            <w:tcW w:w="7370" w:type="dxa"/>
            <w:tcBorders/>
            <w:shd w:fill="CCEEFF" w:val="clear"/>
            <w:tcMar>
              <w:bottom w:w="0" w:type="dxa"/>
            </w:tcMar>
            <w:vAlign w:val="bottom"/>
          </w:tcPr>
          <w:p>
            <w:pPr>
              <w:pStyle w:val="TableContents"/>
              <w:bidi w:val="0"/>
              <w:spacing w:before="0" w:after="0"/>
              <w:jc w:val="left"/>
              <w:rPr/>
            </w:pPr>
            <w:r>
              <w:rPr/>
              <w:t>Research and development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50" w:type="dxa"/>
            <w:tcBorders/>
            <w:shd w:fill="CCEEFF" w:val="clear"/>
            <w:tcMar>
              <w:bottom w:w="0" w:type="dxa"/>
            </w:tcMar>
            <w:vAlign w:val="bottom"/>
          </w:tcPr>
          <w:p>
            <w:pPr>
              <w:pStyle w:val="TableContents"/>
              <w:bidi w:val="0"/>
              <w:spacing w:before="0" w:after="283"/>
              <w:jc w:val="left"/>
              <w:rPr/>
            </w:pPr>
            <w:r>
              <w:rPr/>
              <w:t> </w:t>
            </w:r>
          </w:p>
        </w:tc>
        <w:tc>
          <w:tcPr>
            <w:tcW w:w="2185" w:type="dxa"/>
            <w:tcBorders/>
            <w:shd w:fill="CCEEFF" w:val="clear"/>
            <w:tcMar>
              <w:bottom w:w="0" w:type="dxa"/>
            </w:tcMar>
            <w:vAlign w:val="bottom"/>
          </w:tcPr>
          <w:p>
            <w:pPr>
              <w:pStyle w:val="TableContents"/>
              <w:bidi w:val="0"/>
              <w:spacing w:before="0" w:after="0"/>
              <w:jc w:val="right"/>
              <w:rPr/>
            </w:pPr>
            <w:r>
              <w:rPr/>
              <w:t>13,698</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9" w:type="dxa"/>
            <w:tcBorders/>
            <w:shd w:fill="CCEEFF" w:val="clear"/>
            <w:tcMar>
              <w:bottom w:w="0" w:type="dxa"/>
            </w:tcMar>
            <w:vAlign w:val="bottom"/>
          </w:tcPr>
          <w:p>
            <w:pPr>
              <w:pStyle w:val="TableContents"/>
              <w:bidi w:val="0"/>
              <w:spacing w:before="0" w:after="283"/>
              <w:jc w:val="left"/>
              <w:rPr/>
            </w:pPr>
            <w:r>
              <w:rPr/>
              <w:t> </w:t>
            </w:r>
          </w:p>
        </w:tc>
        <w:tc>
          <w:tcPr>
            <w:tcW w:w="1176" w:type="dxa"/>
            <w:tcBorders/>
            <w:shd w:fill="CCEEFF" w:val="clear"/>
            <w:tcMar>
              <w:bottom w:w="0" w:type="dxa"/>
            </w:tcMar>
            <w:vAlign w:val="bottom"/>
          </w:tcPr>
          <w:p>
            <w:pPr>
              <w:pStyle w:val="TableContents"/>
              <w:bidi w:val="0"/>
              <w:spacing w:before="0" w:after="0"/>
              <w:jc w:val="right"/>
              <w:rPr/>
            </w:pPr>
            <w:r>
              <w:rPr/>
              <w:t>19,330</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2014" w:type="dxa"/>
            <w:tcBorders/>
            <w:shd w:fill="CCEEFF" w:val="clear"/>
            <w:tcMar>
              <w:bottom w:w="0" w:type="dxa"/>
            </w:tcMar>
            <w:vAlign w:val="bottom"/>
          </w:tcPr>
          <w:p>
            <w:pPr>
              <w:pStyle w:val="TableContents"/>
              <w:bidi w:val="0"/>
              <w:spacing w:before="0" w:after="0"/>
              <w:jc w:val="right"/>
              <w:rPr/>
            </w:pPr>
            <w:r>
              <w:rPr/>
              <w:t>33,028</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2279" w:type="dxa"/>
            <w:tcBorders/>
            <w:shd w:fill="CCEEFF" w:val="clear"/>
            <w:tcMar>
              <w:bottom w:w="0" w:type="dxa"/>
            </w:tcMar>
            <w:vAlign w:val="bottom"/>
          </w:tcPr>
          <w:p>
            <w:pPr>
              <w:pStyle w:val="TableContents"/>
              <w:bidi w:val="0"/>
              <w:spacing w:before="0" w:after="0"/>
              <w:jc w:val="right"/>
              <w:rPr/>
            </w:pPr>
            <w:r>
              <w:rPr/>
              <w:t>-</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75" w:type="dxa"/>
            <w:gridSpan w:val="2"/>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1220" w:type="dxa"/>
            <w:tcBorders/>
            <w:shd w:fill="CCEEFF" w:val="clear"/>
            <w:tcMar>
              <w:bottom w:w="0" w:type="dxa"/>
            </w:tcMar>
            <w:vAlign w:val="bottom"/>
          </w:tcPr>
          <w:p>
            <w:pPr>
              <w:pStyle w:val="TableContents"/>
              <w:bidi w:val="0"/>
              <w:spacing w:before="0" w:after="0"/>
              <w:jc w:val="right"/>
              <w:rPr/>
            </w:pPr>
            <w:r>
              <w:rPr/>
              <w:t>33,028</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7370" w:type="dxa"/>
            <w:tcBorders/>
            <w:tcMar>
              <w:bottom w:w="0" w:type="dxa"/>
            </w:tcMar>
            <w:vAlign w:val="bottom"/>
          </w:tcPr>
          <w:p>
            <w:pPr>
              <w:pStyle w:val="TableContents"/>
              <w:bidi w:val="0"/>
              <w:spacing w:before="0" w:after="0"/>
              <w:jc w:val="left"/>
              <w:rPr/>
            </w:pPr>
            <w:r>
              <w:rPr/>
              <w:t>General and administrative</w:t>
            </w:r>
          </w:p>
        </w:tc>
        <w:tc>
          <w:tcPr>
            <w:tcW w:w="60" w:type="dxa"/>
            <w:tcBorders/>
            <w:tcMar>
              <w:bottom w:w="0" w:type="dxa"/>
            </w:tcMar>
            <w:vAlign w:val="bottom"/>
          </w:tcPr>
          <w:p>
            <w:pPr>
              <w:pStyle w:val="TableContents"/>
              <w:bidi w:val="0"/>
              <w:spacing w:before="0" w:after="283"/>
              <w:jc w:val="left"/>
              <w:rPr/>
            </w:pPr>
            <w:r>
              <w:rPr/>
              <w:t> </w:t>
            </w:r>
          </w:p>
        </w:tc>
        <w:tc>
          <w:tcPr>
            <w:tcW w:w="250" w:type="dxa"/>
            <w:tcBorders/>
            <w:tcMar>
              <w:bottom w:w="0" w:type="dxa"/>
            </w:tcMar>
            <w:vAlign w:val="bottom"/>
          </w:tcPr>
          <w:p>
            <w:pPr>
              <w:pStyle w:val="TableContents"/>
              <w:bidi w:val="0"/>
              <w:spacing w:before="0" w:after="283"/>
              <w:jc w:val="left"/>
              <w:rPr/>
            </w:pPr>
            <w:r>
              <w:rPr/>
              <w:t> </w:t>
            </w:r>
          </w:p>
        </w:tc>
        <w:tc>
          <w:tcPr>
            <w:tcW w:w="2185" w:type="dxa"/>
            <w:tcBorders/>
            <w:tcMar>
              <w:bottom w:w="0" w:type="dxa"/>
            </w:tcMar>
            <w:vAlign w:val="bottom"/>
          </w:tcPr>
          <w:p>
            <w:pPr>
              <w:pStyle w:val="TableContents"/>
              <w:bidi w:val="0"/>
              <w:spacing w:before="0" w:after="0"/>
              <w:jc w:val="right"/>
              <w:rPr/>
            </w:pPr>
            <w:r>
              <w:rPr/>
              <w:t>20,804</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9" w:type="dxa"/>
            <w:tcBorders/>
            <w:tcMar>
              <w:bottom w:w="0" w:type="dxa"/>
            </w:tcMar>
            <w:vAlign w:val="bottom"/>
          </w:tcPr>
          <w:p>
            <w:pPr>
              <w:pStyle w:val="TableContents"/>
              <w:bidi w:val="0"/>
              <w:spacing w:before="0" w:after="283"/>
              <w:jc w:val="left"/>
              <w:rPr/>
            </w:pPr>
            <w:r>
              <w:rPr/>
              <w:t> </w:t>
            </w:r>
          </w:p>
        </w:tc>
        <w:tc>
          <w:tcPr>
            <w:tcW w:w="1176" w:type="dxa"/>
            <w:tcBorders/>
            <w:tcMar>
              <w:bottom w:w="0" w:type="dxa"/>
            </w:tcMar>
            <w:vAlign w:val="bottom"/>
          </w:tcPr>
          <w:p>
            <w:pPr>
              <w:pStyle w:val="TableContents"/>
              <w:bidi w:val="0"/>
              <w:spacing w:before="0" w:after="0"/>
              <w:jc w:val="right"/>
              <w:rPr/>
            </w:pPr>
            <w:r>
              <w:rPr/>
              <w:t>10,246</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1" w:type="dxa"/>
            <w:tcBorders/>
            <w:tcMar>
              <w:bottom w:w="0" w:type="dxa"/>
            </w:tcMar>
            <w:vAlign w:val="bottom"/>
          </w:tcPr>
          <w:p>
            <w:pPr>
              <w:pStyle w:val="TableContents"/>
              <w:bidi w:val="0"/>
              <w:spacing w:before="0" w:after="283"/>
              <w:jc w:val="left"/>
              <w:rPr/>
            </w:pPr>
            <w:r>
              <w:rPr/>
              <w:t> </w:t>
            </w:r>
          </w:p>
        </w:tc>
        <w:tc>
          <w:tcPr>
            <w:tcW w:w="2014" w:type="dxa"/>
            <w:tcBorders/>
            <w:tcMar>
              <w:bottom w:w="0" w:type="dxa"/>
            </w:tcMar>
            <w:vAlign w:val="bottom"/>
          </w:tcPr>
          <w:p>
            <w:pPr>
              <w:pStyle w:val="TableContents"/>
              <w:bidi w:val="0"/>
              <w:spacing w:before="0" w:after="0"/>
              <w:jc w:val="right"/>
              <w:rPr/>
            </w:pPr>
            <w:r>
              <w:rPr/>
              <w:t>31,050</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1" w:type="dxa"/>
            <w:tcBorders/>
            <w:tcMar>
              <w:bottom w:w="0" w:type="dxa"/>
            </w:tcMar>
            <w:vAlign w:val="bottom"/>
          </w:tcPr>
          <w:p>
            <w:pPr>
              <w:pStyle w:val="TableContents"/>
              <w:bidi w:val="0"/>
              <w:spacing w:before="0" w:after="283"/>
              <w:jc w:val="left"/>
              <w:rPr/>
            </w:pPr>
            <w:r>
              <w:rPr/>
              <w:t> </w:t>
            </w:r>
          </w:p>
        </w:tc>
        <w:tc>
          <w:tcPr>
            <w:tcW w:w="2279" w:type="dxa"/>
            <w:tcBorders/>
            <w:tcMar>
              <w:bottom w:w="0" w:type="dxa"/>
            </w:tcMar>
            <w:vAlign w:val="bottom"/>
          </w:tcPr>
          <w:p>
            <w:pPr>
              <w:pStyle w:val="TableContents"/>
              <w:bidi w:val="0"/>
              <w:spacing w:before="0" w:after="0"/>
              <w:jc w:val="right"/>
              <w:rPr/>
            </w:pPr>
            <w:r>
              <w:rPr/>
              <w:t>-</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75"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0" w:type="dxa"/>
            <w:tcBorders/>
            <w:tcMar>
              <w:bottom w:w="0" w:type="dxa"/>
            </w:tcMar>
            <w:vAlign w:val="bottom"/>
          </w:tcPr>
          <w:p>
            <w:pPr>
              <w:pStyle w:val="TableContents"/>
              <w:bidi w:val="0"/>
              <w:spacing w:before="0" w:after="283"/>
              <w:jc w:val="left"/>
              <w:rPr/>
            </w:pPr>
            <w:r>
              <w:rPr/>
              <w:t> </w:t>
            </w:r>
          </w:p>
        </w:tc>
        <w:tc>
          <w:tcPr>
            <w:tcW w:w="1220" w:type="dxa"/>
            <w:tcBorders/>
            <w:tcMar>
              <w:bottom w:w="0" w:type="dxa"/>
            </w:tcMar>
            <w:vAlign w:val="bottom"/>
          </w:tcPr>
          <w:p>
            <w:pPr>
              <w:pStyle w:val="TableContents"/>
              <w:bidi w:val="0"/>
              <w:spacing w:before="0" w:after="0"/>
              <w:jc w:val="right"/>
              <w:rPr/>
            </w:pPr>
            <w:r>
              <w:rPr/>
              <w:t>31,050</w:t>
            </w:r>
          </w:p>
        </w:tc>
        <w:tc>
          <w:tcPr>
            <w:tcW w:w="95" w:type="dxa"/>
            <w:tcBorders/>
            <w:tcMar>
              <w:bottom w:w="0" w:type="dxa"/>
            </w:tcMar>
            <w:vAlign w:val="bottom"/>
          </w:tcPr>
          <w:p>
            <w:pPr>
              <w:pStyle w:val="TableContents"/>
              <w:bidi w:val="0"/>
              <w:spacing w:before="0" w:after="283"/>
              <w:jc w:val="left"/>
              <w:rPr/>
            </w:pPr>
            <w:r>
              <w:rPr/>
              <w:t> </w:t>
            </w:r>
          </w:p>
        </w:tc>
      </w:tr>
      <w:tr>
        <w:trPr/>
        <w:tc>
          <w:tcPr>
            <w:tcW w:w="7370" w:type="dxa"/>
            <w:tcBorders/>
            <w:shd w:fill="CCEEFF" w:val="clear"/>
            <w:tcMar>
              <w:bottom w:w="0" w:type="dxa"/>
            </w:tcMar>
            <w:vAlign w:val="bottom"/>
          </w:tcPr>
          <w:p>
            <w:pPr>
              <w:pStyle w:val="TableContents"/>
              <w:bidi w:val="0"/>
              <w:spacing w:before="0" w:after="0"/>
              <w:jc w:val="left"/>
              <w:rPr/>
            </w:pPr>
            <w:r>
              <w:rPr/>
              <w:t>Loss on disposal of assets, net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50" w:type="dxa"/>
            <w:tcBorders/>
            <w:shd w:fill="CCEEFF" w:val="clear"/>
            <w:tcMar>
              <w:bottom w:w="0" w:type="dxa"/>
            </w:tcMar>
            <w:vAlign w:val="bottom"/>
          </w:tcPr>
          <w:p>
            <w:pPr>
              <w:pStyle w:val="TableContents"/>
              <w:bidi w:val="0"/>
              <w:spacing w:before="0" w:after="283"/>
              <w:jc w:val="left"/>
              <w:rPr/>
            </w:pPr>
            <w:r>
              <w:rPr/>
              <w:t> </w:t>
            </w:r>
          </w:p>
        </w:tc>
        <w:tc>
          <w:tcPr>
            <w:tcW w:w="2185" w:type="dxa"/>
            <w:tcBorders/>
            <w:shd w:fill="CCEEFF" w:val="clear"/>
            <w:tcMar>
              <w:bottom w:w="0" w:type="dxa"/>
            </w:tcMar>
            <w:vAlign w:val="bottom"/>
          </w:tcPr>
          <w:p>
            <w:pPr>
              <w:pStyle w:val="TableContents"/>
              <w:bidi w:val="0"/>
              <w:spacing w:before="0" w:after="0"/>
              <w:jc w:val="right"/>
              <w:rPr/>
            </w:pPr>
            <w:r>
              <w:rPr/>
              <w:t>4</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9" w:type="dxa"/>
            <w:tcBorders/>
            <w:shd w:fill="CCEEFF" w:val="clear"/>
            <w:tcMar>
              <w:bottom w:w="0" w:type="dxa"/>
            </w:tcMar>
            <w:vAlign w:val="bottom"/>
          </w:tcPr>
          <w:p>
            <w:pPr>
              <w:pStyle w:val="TableContents"/>
              <w:bidi w:val="0"/>
              <w:spacing w:before="0" w:after="283"/>
              <w:jc w:val="left"/>
              <w:rPr/>
            </w:pPr>
            <w:r>
              <w:rPr/>
              <w:t> </w:t>
            </w:r>
          </w:p>
        </w:tc>
        <w:tc>
          <w:tcPr>
            <w:tcW w:w="1176" w:type="dxa"/>
            <w:tcBorders/>
            <w:shd w:fill="CCEEFF" w:val="clear"/>
            <w:tcMar>
              <w:bottom w:w="0" w:type="dxa"/>
            </w:tcMar>
            <w:vAlign w:val="bottom"/>
          </w:tcPr>
          <w:p>
            <w:pPr>
              <w:pStyle w:val="TableContents"/>
              <w:bidi w:val="0"/>
              <w:spacing w:before="0" w:after="0"/>
              <w:jc w:val="right"/>
              <w:rPr/>
            </w:pPr>
            <w:r>
              <w:rPr/>
              <w:t>-</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2014" w:type="dxa"/>
            <w:tcBorders/>
            <w:shd w:fill="CCEEFF" w:val="clear"/>
            <w:tcMar>
              <w:bottom w:w="0" w:type="dxa"/>
            </w:tcMar>
            <w:vAlign w:val="bottom"/>
          </w:tcPr>
          <w:p>
            <w:pPr>
              <w:pStyle w:val="TableContents"/>
              <w:bidi w:val="0"/>
              <w:spacing w:before="0" w:after="0"/>
              <w:jc w:val="right"/>
              <w:rPr/>
            </w:pPr>
            <w:r>
              <w:rPr/>
              <w:t>4</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2279" w:type="dxa"/>
            <w:tcBorders/>
            <w:shd w:fill="CCEEFF" w:val="clear"/>
            <w:tcMar>
              <w:bottom w:w="0" w:type="dxa"/>
            </w:tcMar>
            <w:vAlign w:val="bottom"/>
          </w:tcPr>
          <w:p>
            <w:pPr>
              <w:pStyle w:val="TableContents"/>
              <w:bidi w:val="0"/>
              <w:spacing w:before="0" w:after="0"/>
              <w:jc w:val="right"/>
              <w:rPr/>
            </w:pPr>
            <w:r>
              <w:rPr/>
              <w:t>-</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75" w:type="dxa"/>
            <w:gridSpan w:val="2"/>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1220" w:type="dxa"/>
            <w:tcBorders/>
            <w:shd w:fill="CCEEFF" w:val="clear"/>
            <w:tcMar>
              <w:bottom w:w="0" w:type="dxa"/>
            </w:tcMar>
            <w:vAlign w:val="bottom"/>
          </w:tcPr>
          <w:p>
            <w:pPr>
              <w:pStyle w:val="TableContents"/>
              <w:bidi w:val="0"/>
              <w:spacing w:before="0" w:after="0"/>
              <w:jc w:val="right"/>
              <w:rPr/>
            </w:pPr>
            <w:r>
              <w:rPr/>
              <w:t>4</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7370" w:type="dxa"/>
            <w:tcBorders>
              <w:bottom w:val="single" w:sz="12" w:space="0" w:color="000000"/>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60" w:type="dxa"/>
            <w:tcBorders>
              <w:bottom w:val="single" w:sz="12" w:space="0" w:color="000000"/>
            </w:tcBorders>
            <w:vAlign w:val="bottom"/>
          </w:tcPr>
          <w:p>
            <w:pPr>
              <w:pStyle w:val="TableContents"/>
              <w:bidi w:val="0"/>
              <w:spacing w:before="0" w:after="283"/>
              <w:jc w:val="left"/>
              <w:rPr/>
            </w:pPr>
            <w:r>
              <w:rPr/>
            </w:r>
          </w:p>
        </w:tc>
        <w:tc>
          <w:tcPr>
            <w:tcW w:w="250" w:type="dxa"/>
            <w:tcBorders>
              <w:bottom w:val="single" w:sz="12" w:space="0" w:color="000000"/>
            </w:tcBorders>
            <w:vAlign w:val="bottom"/>
          </w:tcPr>
          <w:p>
            <w:pPr>
              <w:pStyle w:val="TableContents"/>
              <w:bidi w:val="0"/>
              <w:spacing w:before="0" w:after="283"/>
              <w:jc w:val="left"/>
              <w:rPr/>
            </w:pPr>
            <w:r>
              <w:rPr/>
            </w:r>
          </w:p>
        </w:tc>
        <w:tc>
          <w:tcPr>
            <w:tcW w:w="2185" w:type="dxa"/>
            <w:tcBorders>
              <w:bottom w:val="single" w:sz="12" w:space="0" w:color="000000"/>
            </w:tcBorders>
            <w:vAlign w:val="bottom"/>
          </w:tcPr>
          <w:p>
            <w:pPr>
              <w:pStyle w:val="TableContents"/>
              <w:bidi w:val="0"/>
              <w:spacing w:before="0" w:after="283"/>
              <w:jc w:val="right"/>
              <w:rPr/>
            </w:pPr>
            <w:r>
              <w:rPr/>
              <w:t>-</w:t>
            </w:r>
          </w:p>
        </w:tc>
        <w:tc>
          <w:tcPr>
            <w:tcW w:w="95" w:type="dxa"/>
            <w:tcBorders>
              <w:bottom w:val="single" w:sz="12" w:space="0" w:color="000000"/>
            </w:tcBorders>
            <w:vAlign w:val="bottom"/>
          </w:tcPr>
          <w:p>
            <w:pPr>
              <w:pStyle w:val="TableContents"/>
              <w:bidi w:val="0"/>
              <w:spacing w:before="0" w:after="283"/>
              <w:jc w:val="left"/>
              <w:rPr/>
            </w:pPr>
            <w:r>
              <w:rPr/>
            </w:r>
          </w:p>
        </w:tc>
        <w:tc>
          <w:tcPr>
            <w:tcW w:w="60" w:type="dxa"/>
            <w:tcBorders>
              <w:bottom w:val="single" w:sz="12" w:space="0" w:color="000000"/>
            </w:tcBorders>
            <w:vAlign w:val="bottom"/>
          </w:tcPr>
          <w:p>
            <w:pPr>
              <w:pStyle w:val="TableContents"/>
              <w:bidi w:val="0"/>
              <w:spacing w:before="0" w:after="283"/>
              <w:jc w:val="left"/>
              <w:rPr/>
            </w:pPr>
            <w:r>
              <w:rPr/>
            </w:r>
          </w:p>
        </w:tc>
        <w:tc>
          <w:tcPr>
            <w:tcW w:w="149" w:type="dxa"/>
            <w:tcBorders>
              <w:bottom w:val="single" w:sz="12" w:space="0" w:color="000000"/>
            </w:tcBorders>
            <w:vAlign w:val="bottom"/>
          </w:tcPr>
          <w:p>
            <w:pPr>
              <w:pStyle w:val="TableContents"/>
              <w:bidi w:val="0"/>
              <w:spacing w:before="0" w:after="283"/>
              <w:jc w:val="left"/>
              <w:rPr/>
            </w:pPr>
            <w:r>
              <w:rPr/>
            </w:r>
          </w:p>
        </w:tc>
        <w:tc>
          <w:tcPr>
            <w:tcW w:w="1176" w:type="dxa"/>
            <w:tcBorders>
              <w:bottom w:val="single" w:sz="12" w:space="0" w:color="000000"/>
            </w:tcBorders>
            <w:vAlign w:val="bottom"/>
          </w:tcPr>
          <w:p>
            <w:pPr>
              <w:pStyle w:val="TableContents"/>
              <w:bidi w:val="0"/>
              <w:spacing w:before="0" w:after="283"/>
              <w:jc w:val="right"/>
              <w:rPr/>
            </w:pPr>
            <w:r>
              <w:rPr/>
              <w:t>-</w:t>
            </w:r>
          </w:p>
        </w:tc>
        <w:tc>
          <w:tcPr>
            <w:tcW w:w="95" w:type="dxa"/>
            <w:tcBorders>
              <w:bottom w:val="single" w:sz="12" w:space="0" w:color="000000"/>
            </w:tcBorders>
            <w:vAlign w:val="bottom"/>
          </w:tcPr>
          <w:p>
            <w:pPr>
              <w:pStyle w:val="TableContents"/>
              <w:bidi w:val="0"/>
              <w:spacing w:before="0" w:after="283"/>
              <w:jc w:val="left"/>
              <w:rPr/>
            </w:pPr>
            <w:r>
              <w:rPr/>
            </w:r>
          </w:p>
        </w:tc>
        <w:tc>
          <w:tcPr>
            <w:tcW w:w="60" w:type="dxa"/>
            <w:tcBorders>
              <w:bottom w:val="single" w:sz="12" w:space="0" w:color="000000"/>
            </w:tcBorders>
            <w:vAlign w:val="bottom"/>
          </w:tcPr>
          <w:p>
            <w:pPr>
              <w:pStyle w:val="TableContents"/>
              <w:bidi w:val="0"/>
              <w:spacing w:before="0" w:after="283"/>
              <w:jc w:val="left"/>
              <w:rPr/>
            </w:pPr>
            <w:r>
              <w:rPr/>
            </w:r>
          </w:p>
        </w:tc>
        <w:tc>
          <w:tcPr>
            <w:tcW w:w="151" w:type="dxa"/>
            <w:tcBorders>
              <w:bottom w:val="single" w:sz="12" w:space="0" w:color="000000"/>
            </w:tcBorders>
            <w:vAlign w:val="bottom"/>
          </w:tcPr>
          <w:p>
            <w:pPr>
              <w:pStyle w:val="TableContents"/>
              <w:bidi w:val="0"/>
              <w:spacing w:before="0" w:after="283"/>
              <w:jc w:val="left"/>
              <w:rPr/>
            </w:pPr>
            <w:r>
              <w:rPr/>
            </w:r>
          </w:p>
        </w:tc>
        <w:tc>
          <w:tcPr>
            <w:tcW w:w="2014" w:type="dxa"/>
            <w:tcBorders>
              <w:bottom w:val="single" w:sz="12" w:space="0" w:color="000000"/>
            </w:tcBorders>
            <w:vAlign w:val="bottom"/>
          </w:tcPr>
          <w:p>
            <w:pPr>
              <w:pStyle w:val="TableContents"/>
              <w:bidi w:val="0"/>
              <w:spacing w:before="0" w:after="283"/>
              <w:jc w:val="right"/>
              <w:rPr/>
            </w:pPr>
            <w:r>
              <w:rPr/>
              <w:t>-</w:t>
            </w:r>
          </w:p>
        </w:tc>
        <w:tc>
          <w:tcPr>
            <w:tcW w:w="95" w:type="dxa"/>
            <w:tcBorders>
              <w:bottom w:val="single" w:sz="12" w:space="0" w:color="000000"/>
            </w:tcBorders>
            <w:vAlign w:val="bottom"/>
          </w:tcPr>
          <w:p>
            <w:pPr>
              <w:pStyle w:val="TableContents"/>
              <w:bidi w:val="0"/>
              <w:spacing w:before="0" w:after="283"/>
              <w:jc w:val="left"/>
              <w:rPr/>
            </w:pPr>
            <w:r>
              <w:rPr/>
            </w:r>
          </w:p>
        </w:tc>
        <w:tc>
          <w:tcPr>
            <w:tcW w:w="60" w:type="dxa"/>
            <w:tcBorders>
              <w:bottom w:val="single" w:sz="12" w:space="0" w:color="000000"/>
            </w:tcBorders>
            <w:vAlign w:val="bottom"/>
          </w:tcPr>
          <w:p>
            <w:pPr>
              <w:pStyle w:val="TableContents"/>
              <w:bidi w:val="0"/>
              <w:spacing w:before="0" w:after="283"/>
              <w:jc w:val="left"/>
              <w:rPr/>
            </w:pPr>
            <w:r>
              <w:rPr/>
            </w:r>
          </w:p>
        </w:tc>
        <w:tc>
          <w:tcPr>
            <w:tcW w:w="201" w:type="dxa"/>
            <w:tcBorders>
              <w:bottom w:val="single" w:sz="12" w:space="0" w:color="000000"/>
            </w:tcBorders>
            <w:vAlign w:val="bottom"/>
          </w:tcPr>
          <w:p>
            <w:pPr>
              <w:pStyle w:val="TableContents"/>
              <w:bidi w:val="0"/>
              <w:spacing w:before="0" w:after="283"/>
              <w:jc w:val="left"/>
              <w:rPr/>
            </w:pPr>
            <w:r>
              <w:rPr/>
            </w:r>
          </w:p>
        </w:tc>
        <w:tc>
          <w:tcPr>
            <w:tcW w:w="2279" w:type="dxa"/>
            <w:tcBorders>
              <w:bottom w:val="single" w:sz="12" w:space="0" w:color="000000"/>
            </w:tcBorders>
            <w:vAlign w:val="bottom"/>
          </w:tcPr>
          <w:p>
            <w:pPr>
              <w:pStyle w:val="TableContents"/>
              <w:bidi w:val="0"/>
              <w:spacing w:before="0" w:after="283"/>
              <w:jc w:val="right"/>
              <w:rPr/>
            </w:pPr>
            <w:r>
              <w:rPr/>
              <w:t>302</w:t>
            </w:r>
          </w:p>
        </w:tc>
        <w:tc>
          <w:tcPr>
            <w:tcW w:w="155" w:type="dxa"/>
            <w:tcBorders>
              <w:bottom w:val="single" w:sz="12" w:space="0" w:color="000000"/>
            </w:tcBorders>
            <w:vAlign w:val="bottom"/>
          </w:tcPr>
          <w:p>
            <w:pPr>
              <w:pStyle w:val="TableContents"/>
              <w:bidi w:val="0"/>
              <w:spacing w:before="0" w:after="283"/>
              <w:jc w:val="left"/>
              <w:rPr/>
            </w:pPr>
            <w:r>
              <w:rPr/>
            </w:r>
          </w:p>
        </w:tc>
        <w:tc>
          <w:tcPr>
            <w:tcW w:w="60" w:type="dxa"/>
            <w:tcBorders>
              <w:bottom w:val="single" w:sz="12" w:space="0" w:color="000000"/>
            </w:tcBorders>
            <w:vAlign w:val="bottom"/>
          </w:tcPr>
          <w:p>
            <w:pPr>
              <w:pStyle w:val="TableContents"/>
              <w:bidi w:val="0"/>
              <w:spacing w:before="0" w:after="283"/>
              <w:jc w:val="left"/>
              <w:rPr/>
            </w:pPr>
            <w:r>
              <w:rPr/>
            </w:r>
          </w:p>
        </w:tc>
        <w:tc>
          <w:tcPr>
            <w:tcW w:w="875" w:type="dxa"/>
            <w:gridSpan w:val="2"/>
            <w:tcBorders>
              <w:bottom w:val="single" w:sz="12" w:space="0" w:color="000000"/>
            </w:tcBorders>
            <w:vAlign w:val="bottom"/>
          </w:tcPr>
          <w:p>
            <w:pPr>
              <w:pStyle w:val="TableContents"/>
              <w:bidi w:val="0"/>
              <w:spacing w:before="0" w:after="283"/>
              <w:jc w:val="center"/>
              <w:rPr/>
            </w:pPr>
            <w:r>
              <w:rPr/>
              <w:t>[E]</w:t>
            </w:r>
          </w:p>
        </w:tc>
        <w:tc>
          <w:tcPr>
            <w:tcW w:w="60" w:type="dxa"/>
            <w:tcBorders>
              <w:bottom w:val="single" w:sz="12" w:space="0" w:color="000000"/>
            </w:tcBorders>
            <w:vAlign w:val="bottom"/>
          </w:tcPr>
          <w:p>
            <w:pPr>
              <w:pStyle w:val="TableContents"/>
              <w:bidi w:val="0"/>
              <w:spacing w:before="0" w:after="283"/>
              <w:jc w:val="left"/>
              <w:rPr/>
            </w:pPr>
            <w:r>
              <w:rPr/>
            </w:r>
          </w:p>
        </w:tc>
        <w:tc>
          <w:tcPr>
            <w:tcW w:w="60" w:type="dxa"/>
            <w:tcBorders>
              <w:bottom w:val="single" w:sz="12" w:space="0" w:color="000000"/>
            </w:tcBorders>
            <w:vAlign w:val="bottom"/>
          </w:tcPr>
          <w:p>
            <w:pPr>
              <w:pStyle w:val="TableContents"/>
              <w:bidi w:val="0"/>
              <w:spacing w:before="0" w:after="283"/>
              <w:jc w:val="left"/>
              <w:rPr/>
            </w:pPr>
            <w:r>
              <w:rPr/>
            </w:r>
          </w:p>
        </w:tc>
        <w:tc>
          <w:tcPr>
            <w:tcW w:w="140" w:type="dxa"/>
            <w:tcBorders>
              <w:bottom w:val="single" w:sz="12" w:space="0" w:color="000000"/>
            </w:tcBorders>
            <w:vAlign w:val="bottom"/>
          </w:tcPr>
          <w:p>
            <w:pPr>
              <w:pStyle w:val="TableContents"/>
              <w:bidi w:val="0"/>
              <w:spacing w:before="0" w:after="283"/>
              <w:jc w:val="left"/>
              <w:rPr/>
            </w:pPr>
            <w:r>
              <w:rPr/>
            </w:r>
          </w:p>
        </w:tc>
        <w:tc>
          <w:tcPr>
            <w:tcW w:w="1220" w:type="dxa"/>
            <w:tcBorders>
              <w:bottom w:val="single" w:sz="12" w:space="0" w:color="000000"/>
            </w:tcBorders>
            <w:vAlign w:val="bottom"/>
          </w:tcPr>
          <w:p>
            <w:pPr>
              <w:pStyle w:val="TableContents"/>
              <w:bidi w:val="0"/>
              <w:spacing w:before="0" w:after="283"/>
              <w:jc w:val="right"/>
              <w:rPr/>
            </w:pPr>
            <w:r>
              <w:rPr/>
              <w:t>302</w:t>
            </w:r>
          </w:p>
        </w:tc>
        <w:tc>
          <w:tcPr>
            <w:tcW w:w="95" w:type="dxa"/>
            <w:tcBorders/>
            <w:tcMar>
              <w:bottom w:w="0" w:type="dxa"/>
            </w:tcMar>
            <w:vAlign w:val="bottom"/>
          </w:tcPr>
          <w:p>
            <w:pPr>
              <w:pStyle w:val="TableContents"/>
              <w:bidi w:val="0"/>
              <w:spacing w:before="0" w:after="283"/>
              <w:jc w:val="left"/>
              <w:rPr/>
            </w:pPr>
            <w:r>
              <w:rPr/>
            </w:r>
          </w:p>
        </w:tc>
      </w:tr>
      <w:tr>
        <w:trPr/>
        <w:tc>
          <w:tcPr>
            <w:tcW w:w="7370" w:type="dxa"/>
            <w:tcBorders>
              <w:bottom w:val="single" w:sz="12" w:space="0" w:color="000000"/>
            </w:tcBorders>
            <w:shd w:fill="CCEEFF" w:val="clear"/>
            <w:vAlign w:val="bottom"/>
          </w:tcPr>
          <w:p>
            <w:pPr>
              <w:pStyle w:val="TableContents"/>
              <w:bidi w:val="0"/>
              <w:spacing w:before="0" w:after="0"/>
              <w:jc w:val="left"/>
              <w:rPr>
                <w:b/>
              </w:rPr>
            </w:pPr>
            <w:r>
              <w:rPr>
                <w:b/>
              </w:rPr>
              <w:t>Total operating expenses:</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50" w:type="dxa"/>
            <w:tcBorders>
              <w:bottom w:val="single" w:sz="12" w:space="0" w:color="000000"/>
            </w:tcBorders>
            <w:shd w:fill="CCEEFF" w:val="clear"/>
            <w:vAlign w:val="bottom"/>
          </w:tcPr>
          <w:p>
            <w:pPr>
              <w:pStyle w:val="TableContents"/>
              <w:bidi w:val="0"/>
              <w:spacing w:before="0" w:after="283"/>
              <w:jc w:val="left"/>
              <w:rPr/>
            </w:pPr>
            <w:r>
              <w:rPr/>
              <w:t> </w:t>
            </w:r>
          </w:p>
        </w:tc>
        <w:tc>
          <w:tcPr>
            <w:tcW w:w="2185" w:type="dxa"/>
            <w:tcBorders>
              <w:bottom w:val="single" w:sz="12" w:space="0" w:color="000000"/>
            </w:tcBorders>
            <w:shd w:fill="CCEEFF" w:val="clear"/>
            <w:vAlign w:val="bottom"/>
          </w:tcPr>
          <w:p>
            <w:pPr>
              <w:pStyle w:val="TableContents"/>
              <w:bidi w:val="0"/>
              <w:spacing w:before="0" w:after="0"/>
              <w:jc w:val="right"/>
              <w:rPr>
                <w:b/>
              </w:rPr>
            </w:pPr>
            <w:r>
              <w:rPr>
                <w:b/>
              </w:rPr>
              <w:t>105,101</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49" w:type="dxa"/>
            <w:tcBorders>
              <w:bottom w:val="single" w:sz="12" w:space="0" w:color="000000"/>
            </w:tcBorders>
            <w:shd w:fill="CCEEFF" w:val="clear"/>
            <w:vAlign w:val="bottom"/>
          </w:tcPr>
          <w:p>
            <w:pPr>
              <w:pStyle w:val="TableContents"/>
              <w:bidi w:val="0"/>
              <w:spacing w:before="0" w:after="283"/>
              <w:jc w:val="left"/>
              <w:rPr/>
            </w:pPr>
            <w:r>
              <w:rPr/>
              <w:t> </w:t>
            </w:r>
          </w:p>
        </w:tc>
        <w:tc>
          <w:tcPr>
            <w:tcW w:w="1176" w:type="dxa"/>
            <w:tcBorders>
              <w:bottom w:val="single" w:sz="12" w:space="0" w:color="000000"/>
            </w:tcBorders>
            <w:shd w:fill="CCEEFF" w:val="clear"/>
            <w:vAlign w:val="bottom"/>
          </w:tcPr>
          <w:p>
            <w:pPr>
              <w:pStyle w:val="TableContents"/>
              <w:bidi w:val="0"/>
              <w:spacing w:before="0" w:after="0"/>
              <w:jc w:val="right"/>
              <w:rPr>
                <w:b/>
              </w:rPr>
            </w:pPr>
            <w:r>
              <w:rPr>
                <w:b/>
              </w:rPr>
              <w:t>29,576</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vAlign w:val="bottom"/>
          </w:tcPr>
          <w:p>
            <w:pPr>
              <w:pStyle w:val="TableContents"/>
              <w:bidi w:val="0"/>
              <w:spacing w:before="0" w:after="283"/>
              <w:jc w:val="left"/>
              <w:rPr/>
            </w:pPr>
            <w:r>
              <w:rPr/>
              <w:t> </w:t>
            </w:r>
          </w:p>
        </w:tc>
        <w:tc>
          <w:tcPr>
            <w:tcW w:w="2014" w:type="dxa"/>
            <w:tcBorders>
              <w:bottom w:val="single" w:sz="12" w:space="0" w:color="000000"/>
            </w:tcBorders>
            <w:shd w:fill="CCEEFF" w:val="clear"/>
            <w:vAlign w:val="bottom"/>
          </w:tcPr>
          <w:p>
            <w:pPr>
              <w:pStyle w:val="TableContents"/>
              <w:bidi w:val="0"/>
              <w:spacing w:before="0" w:after="0"/>
              <w:jc w:val="right"/>
              <w:rPr>
                <w:b/>
              </w:rPr>
            </w:pPr>
            <w:r>
              <w:rPr>
                <w:b/>
              </w:rPr>
              <w:t>134,677</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vAlign w:val="bottom"/>
          </w:tcPr>
          <w:p>
            <w:pPr>
              <w:pStyle w:val="TableContents"/>
              <w:bidi w:val="0"/>
              <w:spacing w:before="0" w:after="283"/>
              <w:jc w:val="left"/>
              <w:rPr/>
            </w:pPr>
            <w:r>
              <w:rPr/>
              <w:t> </w:t>
            </w:r>
          </w:p>
        </w:tc>
        <w:tc>
          <w:tcPr>
            <w:tcW w:w="2279" w:type="dxa"/>
            <w:tcBorders>
              <w:bottom w:val="single" w:sz="12" w:space="0" w:color="000000"/>
            </w:tcBorders>
            <w:shd w:fill="CCEEFF" w:val="clear"/>
            <w:vAlign w:val="bottom"/>
          </w:tcPr>
          <w:p>
            <w:pPr>
              <w:pStyle w:val="TableContents"/>
              <w:bidi w:val="0"/>
              <w:spacing w:before="0" w:after="0"/>
              <w:jc w:val="right"/>
              <w:rPr>
                <w:b/>
              </w:rPr>
            </w:pPr>
            <w:r>
              <w:rPr>
                <w:b/>
              </w:rPr>
              <w:t>302</w:t>
            </w:r>
          </w:p>
        </w:tc>
        <w:tc>
          <w:tcPr>
            <w:tcW w:w="15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875" w:type="dxa"/>
            <w:gridSpan w:val="2"/>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vAlign w:val="bottom"/>
          </w:tcPr>
          <w:p>
            <w:pPr>
              <w:pStyle w:val="TableContents"/>
              <w:bidi w:val="0"/>
              <w:spacing w:before="0" w:after="283"/>
              <w:jc w:val="left"/>
              <w:rPr/>
            </w:pPr>
            <w:r>
              <w:rPr/>
              <w:t> </w:t>
            </w:r>
          </w:p>
        </w:tc>
        <w:tc>
          <w:tcPr>
            <w:tcW w:w="1220" w:type="dxa"/>
            <w:tcBorders>
              <w:bottom w:val="single" w:sz="12" w:space="0" w:color="000000"/>
            </w:tcBorders>
            <w:shd w:fill="CCEEFF" w:val="clear"/>
            <w:vAlign w:val="bottom"/>
          </w:tcPr>
          <w:p>
            <w:pPr>
              <w:pStyle w:val="TableContents"/>
              <w:bidi w:val="0"/>
              <w:spacing w:before="0" w:after="0"/>
              <w:jc w:val="right"/>
              <w:rPr>
                <w:b/>
              </w:rPr>
            </w:pPr>
            <w:r>
              <w:rPr>
                <w:b/>
              </w:rPr>
              <w:t>134,979</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7370" w:type="dxa"/>
            <w:tcBorders/>
            <w:tcMar>
              <w:bottom w:w="0" w:type="dxa"/>
            </w:tcMar>
            <w:vAlign w:val="bottom"/>
          </w:tcPr>
          <w:p>
            <w:pPr>
              <w:pStyle w:val="TableContents"/>
              <w:bidi w:val="0"/>
              <w:spacing w:before="0" w:after="0"/>
              <w:jc w:val="left"/>
              <w:rPr>
                <w:b/>
              </w:rPr>
            </w:pPr>
            <w:r>
              <w:rPr>
                <w:b/>
              </w:rPr>
              <w:t>Income (loss) from operations</w:t>
            </w:r>
          </w:p>
        </w:tc>
        <w:tc>
          <w:tcPr>
            <w:tcW w:w="60" w:type="dxa"/>
            <w:tcBorders/>
            <w:tcMar>
              <w:bottom w:w="0" w:type="dxa"/>
            </w:tcMar>
            <w:vAlign w:val="bottom"/>
          </w:tcPr>
          <w:p>
            <w:pPr>
              <w:pStyle w:val="TableContents"/>
              <w:bidi w:val="0"/>
              <w:spacing w:before="0" w:after="283"/>
              <w:jc w:val="left"/>
              <w:rPr/>
            </w:pPr>
            <w:r>
              <w:rPr/>
              <w:t> </w:t>
            </w:r>
          </w:p>
        </w:tc>
        <w:tc>
          <w:tcPr>
            <w:tcW w:w="250" w:type="dxa"/>
            <w:tcBorders/>
            <w:tcMar>
              <w:bottom w:w="0" w:type="dxa"/>
            </w:tcMar>
            <w:vAlign w:val="bottom"/>
          </w:tcPr>
          <w:p>
            <w:pPr>
              <w:pStyle w:val="TableContents"/>
              <w:bidi w:val="0"/>
              <w:spacing w:before="0" w:after="283"/>
              <w:jc w:val="left"/>
              <w:rPr/>
            </w:pPr>
            <w:r>
              <w:rPr/>
              <w:t> </w:t>
            </w:r>
          </w:p>
        </w:tc>
        <w:tc>
          <w:tcPr>
            <w:tcW w:w="2185" w:type="dxa"/>
            <w:tcBorders/>
            <w:tcMar>
              <w:bottom w:w="0" w:type="dxa"/>
            </w:tcMar>
            <w:vAlign w:val="bottom"/>
          </w:tcPr>
          <w:p>
            <w:pPr>
              <w:pStyle w:val="TableContents"/>
              <w:bidi w:val="0"/>
              <w:spacing w:before="0" w:after="0"/>
              <w:jc w:val="right"/>
              <w:rPr>
                <w:b/>
              </w:rPr>
            </w:pPr>
            <w:r>
              <w:rPr>
                <w:b/>
              </w:rPr>
              <w:t>11,487</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9" w:type="dxa"/>
            <w:tcBorders/>
            <w:tcMar>
              <w:bottom w:w="0" w:type="dxa"/>
            </w:tcMar>
            <w:vAlign w:val="bottom"/>
          </w:tcPr>
          <w:p>
            <w:pPr>
              <w:pStyle w:val="TableContents"/>
              <w:bidi w:val="0"/>
              <w:spacing w:before="0" w:after="283"/>
              <w:jc w:val="left"/>
              <w:rPr/>
            </w:pPr>
            <w:r>
              <w:rPr/>
              <w:t> </w:t>
            </w:r>
          </w:p>
        </w:tc>
        <w:tc>
          <w:tcPr>
            <w:tcW w:w="1176" w:type="dxa"/>
            <w:tcBorders/>
            <w:tcMar>
              <w:bottom w:w="0" w:type="dxa"/>
            </w:tcMar>
            <w:vAlign w:val="bottom"/>
          </w:tcPr>
          <w:p>
            <w:pPr>
              <w:pStyle w:val="TableContents"/>
              <w:bidi w:val="0"/>
              <w:spacing w:before="0" w:after="0"/>
              <w:jc w:val="right"/>
              <w:rPr>
                <w:b/>
              </w:rPr>
            </w:pPr>
            <w:r>
              <w:rPr>
                <w:b/>
              </w:rPr>
              <w:t>(14,203</w:t>
            </w:r>
          </w:p>
        </w:tc>
        <w:tc>
          <w:tcPr>
            <w:tcW w:w="95" w:type="dxa"/>
            <w:tcBorders/>
            <w:tcMar>
              <w:bottom w:w="0" w:type="dxa"/>
            </w:tcMar>
            <w:vAlign w:val="bottom"/>
          </w:tcPr>
          <w:p>
            <w:pPr>
              <w:pStyle w:val="TableContents"/>
              <w:bidi w:val="0"/>
              <w:spacing w:before="0" w:after="0"/>
              <w:jc w:val="left"/>
              <w:rPr>
                <w:b/>
              </w:rPr>
            </w:pPr>
            <w:r>
              <w:rPr>
                <w:b/>
              </w:rPr>
              <w:t>)</w:t>
            </w:r>
          </w:p>
        </w:tc>
        <w:tc>
          <w:tcPr>
            <w:tcW w:w="60" w:type="dxa"/>
            <w:tcBorders/>
            <w:tcMar>
              <w:bottom w:w="0" w:type="dxa"/>
            </w:tcMar>
            <w:vAlign w:val="bottom"/>
          </w:tcPr>
          <w:p>
            <w:pPr>
              <w:pStyle w:val="TableContents"/>
              <w:bidi w:val="0"/>
              <w:spacing w:before="0" w:after="283"/>
              <w:jc w:val="left"/>
              <w:rPr/>
            </w:pPr>
            <w:r>
              <w:rPr/>
              <w:t> </w:t>
            </w:r>
          </w:p>
        </w:tc>
        <w:tc>
          <w:tcPr>
            <w:tcW w:w="151" w:type="dxa"/>
            <w:tcBorders/>
            <w:tcMar>
              <w:bottom w:w="0" w:type="dxa"/>
            </w:tcMar>
            <w:vAlign w:val="bottom"/>
          </w:tcPr>
          <w:p>
            <w:pPr>
              <w:pStyle w:val="TableContents"/>
              <w:bidi w:val="0"/>
              <w:spacing w:before="0" w:after="283"/>
              <w:jc w:val="left"/>
              <w:rPr/>
            </w:pPr>
            <w:r>
              <w:rPr/>
              <w:t> </w:t>
            </w:r>
          </w:p>
        </w:tc>
        <w:tc>
          <w:tcPr>
            <w:tcW w:w="2014" w:type="dxa"/>
            <w:tcBorders/>
            <w:tcMar>
              <w:bottom w:w="0" w:type="dxa"/>
            </w:tcMar>
            <w:vAlign w:val="bottom"/>
          </w:tcPr>
          <w:p>
            <w:pPr>
              <w:pStyle w:val="TableContents"/>
              <w:bidi w:val="0"/>
              <w:spacing w:before="0" w:after="0"/>
              <w:jc w:val="right"/>
              <w:rPr>
                <w:b/>
              </w:rPr>
            </w:pPr>
            <w:r>
              <w:rPr>
                <w:b/>
              </w:rPr>
              <w:t>(2,716</w:t>
            </w:r>
          </w:p>
        </w:tc>
        <w:tc>
          <w:tcPr>
            <w:tcW w:w="95" w:type="dxa"/>
            <w:tcBorders/>
            <w:tcMar>
              <w:bottom w:w="0" w:type="dxa"/>
            </w:tcMar>
            <w:vAlign w:val="bottom"/>
          </w:tcPr>
          <w:p>
            <w:pPr>
              <w:pStyle w:val="TableContents"/>
              <w:bidi w:val="0"/>
              <w:spacing w:before="0" w:after="0"/>
              <w:jc w:val="left"/>
              <w:rPr>
                <w:b/>
              </w:rPr>
            </w:pPr>
            <w:r>
              <w:rPr>
                <w:b/>
              </w:rPr>
              <w:t>)</w:t>
            </w:r>
          </w:p>
        </w:tc>
        <w:tc>
          <w:tcPr>
            <w:tcW w:w="60" w:type="dxa"/>
            <w:tcBorders/>
            <w:tcMar>
              <w:bottom w:w="0" w:type="dxa"/>
            </w:tcMar>
            <w:vAlign w:val="bottom"/>
          </w:tcPr>
          <w:p>
            <w:pPr>
              <w:pStyle w:val="TableContents"/>
              <w:bidi w:val="0"/>
              <w:spacing w:before="0" w:after="283"/>
              <w:jc w:val="left"/>
              <w:rPr/>
            </w:pPr>
            <w:r>
              <w:rPr/>
              <w:t> </w:t>
            </w:r>
          </w:p>
        </w:tc>
        <w:tc>
          <w:tcPr>
            <w:tcW w:w="201" w:type="dxa"/>
            <w:tcBorders/>
            <w:tcMar>
              <w:bottom w:w="0" w:type="dxa"/>
            </w:tcMar>
            <w:vAlign w:val="bottom"/>
          </w:tcPr>
          <w:p>
            <w:pPr>
              <w:pStyle w:val="TableContents"/>
              <w:bidi w:val="0"/>
              <w:spacing w:before="0" w:after="283"/>
              <w:jc w:val="left"/>
              <w:rPr/>
            </w:pPr>
            <w:r>
              <w:rPr/>
              <w:t> </w:t>
            </w:r>
          </w:p>
        </w:tc>
        <w:tc>
          <w:tcPr>
            <w:tcW w:w="2279" w:type="dxa"/>
            <w:tcBorders/>
            <w:tcMar>
              <w:bottom w:w="0" w:type="dxa"/>
            </w:tcMar>
            <w:vAlign w:val="bottom"/>
          </w:tcPr>
          <w:p>
            <w:pPr>
              <w:pStyle w:val="TableContents"/>
              <w:bidi w:val="0"/>
              <w:spacing w:before="0" w:after="0"/>
              <w:jc w:val="right"/>
              <w:rPr>
                <w:b/>
              </w:rPr>
            </w:pPr>
            <w:r>
              <w:rPr>
                <w:b/>
              </w:rPr>
              <w:t>(302</w:t>
            </w:r>
          </w:p>
        </w:tc>
        <w:tc>
          <w:tcPr>
            <w:tcW w:w="155" w:type="dxa"/>
            <w:tcBorders/>
            <w:tcMar>
              <w:bottom w:w="0" w:type="dxa"/>
            </w:tcMar>
            <w:vAlign w:val="bottom"/>
          </w:tcPr>
          <w:p>
            <w:pPr>
              <w:pStyle w:val="TableContents"/>
              <w:bidi w:val="0"/>
              <w:spacing w:before="0" w:after="283"/>
              <w:jc w:val="left"/>
              <w:rPr/>
            </w:pPr>
            <w:r>
              <w:rPr/>
              <w:t>)</w:t>
            </w:r>
          </w:p>
        </w:tc>
        <w:tc>
          <w:tcPr>
            <w:tcW w:w="60" w:type="dxa"/>
            <w:tcBorders/>
            <w:tcMar>
              <w:bottom w:w="0" w:type="dxa"/>
            </w:tcMar>
            <w:vAlign w:val="bottom"/>
          </w:tcPr>
          <w:p>
            <w:pPr>
              <w:pStyle w:val="TableContents"/>
              <w:bidi w:val="0"/>
              <w:spacing w:before="0" w:after="283"/>
              <w:jc w:val="left"/>
              <w:rPr/>
            </w:pPr>
            <w:r>
              <w:rPr/>
              <w:t> </w:t>
            </w:r>
          </w:p>
        </w:tc>
        <w:tc>
          <w:tcPr>
            <w:tcW w:w="875"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0" w:type="dxa"/>
            <w:tcBorders/>
            <w:tcMar>
              <w:bottom w:w="0" w:type="dxa"/>
            </w:tcMar>
            <w:vAlign w:val="bottom"/>
          </w:tcPr>
          <w:p>
            <w:pPr>
              <w:pStyle w:val="TableContents"/>
              <w:bidi w:val="0"/>
              <w:spacing w:before="0" w:after="283"/>
              <w:jc w:val="left"/>
              <w:rPr/>
            </w:pPr>
            <w:r>
              <w:rPr/>
              <w:t> </w:t>
            </w:r>
          </w:p>
        </w:tc>
        <w:tc>
          <w:tcPr>
            <w:tcW w:w="1220" w:type="dxa"/>
            <w:tcBorders/>
            <w:tcMar>
              <w:bottom w:w="0" w:type="dxa"/>
            </w:tcMar>
            <w:vAlign w:val="bottom"/>
          </w:tcPr>
          <w:p>
            <w:pPr>
              <w:pStyle w:val="TableContents"/>
              <w:bidi w:val="0"/>
              <w:spacing w:before="0" w:after="0"/>
              <w:jc w:val="right"/>
              <w:rPr>
                <w:b/>
              </w:rPr>
            </w:pPr>
            <w:r>
              <w:rPr>
                <w:b/>
              </w:rPr>
              <w:t>(3,018</w:t>
            </w:r>
          </w:p>
        </w:tc>
        <w:tc>
          <w:tcPr>
            <w:tcW w:w="95" w:type="dxa"/>
            <w:tcBorders/>
            <w:tcMar>
              <w:bottom w:w="0" w:type="dxa"/>
            </w:tcMar>
            <w:vAlign w:val="bottom"/>
          </w:tcPr>
          <w:p>
            <w:pPr>
              <w:pStyle w:val="TableContents"/>
              <w:bidi w:val="0"/>
              <w:spacing w:before="0" w:after="0"/>
              <w:jc w:val="left"/>
              <w:rPr>
                <w:b/>
              </w:rPr>
            </w:pPr>
            <w:r>
              <w:rPr>
                <w:b/>
              </w:rPr>
              <w:t>)</w:t>
            </w:r>
          </w:p>
        </w:tc>
      </w:tr>
      <w:tr>
        <w:trPr/>
        <w:tc>
          <w:tcPr>
            <w:tcW w:w="7370" w:type="dxa"/>
            <w:tcBorders/>
            <w:shd w:fill="CCEEFF" w:val="clear"/>
            <w:tcMar>
              <w:bottom w:w="0" w:type="dxa"/>
            </w:tcMar>
            <w:vAlign w:val="bottom"/>
          </w:tcPr>
          <w:p>
            <w:pPr>
              <w:pStyle w:val="TableContents"/>
              <w:bidi w:val="0"/>
              <w:spacing w:before="0" w:after="0"/>
              <w:jc w:val="left"/>
              <w:rPr>
                <w:b/>
              </w:rPr>
            </w:pPr>
            <w:r>
              <w:rPr>
                <w:b/>
              </w:rPr>
              <w:t>Other income, net: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50" w:type="dxa"/>
            <w:tcBorders/>
            <w:shd w:fill="CCEEFF" w:val="clear"/>
            <w:tcMar>
              <w:bottom w:w="0" w:type="dxa"/>
            </w:tcMar>
            <w:vAlign w:val="bottom"/>
          </w:tcPr>
          <w:p>
            <w:pPr>
              <w:pStyle w:val="TableContents"/>
              <w:bidi w:val="0"/>
              <w:spacing w:before="0" w:after="283"/>
              <w:jc w:val="left"/>
              <w:rPr/>
            </w:pPr>
            <w:r>
              <w:rPr/>
              <w:t> </w:t>
            </w:r>
          </w:p>
        </w:tc>
        <w:tc>
          <w:tcPr>
            <w:tcW w:w="2185"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9" w:type="dxa"/>
            <w:tcBorders/>
            <w:shd w:fill="CCEEFF" w:val="clear"/>
            <w:tcMar>
              <w:bottom w:w="0" w:type="dxa"/>
            </w:tcMar>
            <w:vAlign w:val="bottom"/>
          </w:tcPr>
          <w:p>
            <w:pPr>
              <w:pStyle w:val="TableContents"/>
              <w:bidi w:val="0"/>
              <w:spacing w:before="0" w:after="283"/>
              <w:jc w:val="left"/>
              <w:rPr/>
            </w:pPr>
            <w:r>
              <w:rPr/>
              <w:t> </w:t>
            </w:r>
          </w:p>
        </w:tc>
        <w:tc>
          <w:tcPr>
            <w:tcW w:w="1176"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2014"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2279" w:type="dxa"/>
            <w:tcBorders/>
            <w:shd w:fill="CCEEFF" w:val="clear"/>
            <w:tcMar>
              <w:bottom w:w="0" w:type="dxa"/>
            </w:tcMar>
            <w:vAlign w:val="bottom"/>
          </w:tcPr>
          <w:p>
            <w:pPr>
              <w:pStyle w:val="TableContents"/>
              <w:bidi w:val="0"/>
              <w:spacing w:before="0" w:after="283"/>
              <w:jc w:val="righ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75" w:type="dxa"/>
            <w:gridSpan w:val="2"/>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1220"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7370" w:type="dxa"/>
            <w:tcBorders/>
            <w:tcMar>
              <w:bottom w:w="0" w:type="dxa"/>
            </w:tcMar>
            <w:vAlign w:val="bottom"/>
          </w:tcPr>
          <w:p>
            <w:pPr>
              <w:pStyle w:val="TableContents"/>
              <w:bidi w:val="0"/>
              <w:spacing w:before="0" w:after="0"/>
              <w:jc w:val="left"/>
              <w:rPr/>
            </w:pPr>
            <w:r>
              <w:rPr/>
              <w:t>Change in fair value of warrant liability</w:t>
            </w:r>
          </w:p>
        </w:tc>
        <w:tc>
          <w:tcPr>
            <w:tcW w:w="60" w:type="dxa"/>
            <w:tcBorders/>
            <w:tcMar>
              <w:bottom w:w="0" w:type="dxa"/>
            </w:tcMar>
            <w:vAlign w:val="bottom"/>
          </w:tcPr>
          <w:p>
            <w:pPr>
              <w:pStyle w:val="TableContents"/>
              <w:bidi w:val="0"/>
              <w:spacing w:before="0" w:after="283"/>
              <w:jc w:val="left"/>
              <w:rPr/>
            </w:pPr>
            <w:r>
              <w:rPr/>
              <w:t> </w:t>
            </w:r>
          </w:p>
        </w:tc>
        <w:tc>
          <w:tcPr>
            <w:tcW w:w="250" w:type="dxa"/>
            <w:tcBorders/>
            <w:tcMar>
              <w:bottom w:w="0" w:type="dxa"/>
            </w:tcMar>
            <w:vAlign w:val="bottom"/>
          </w:tcPr>
          <w:p>
            <w:pPr>
              <w:pStyle w:val="TableContents"/>
              <w:bidi w:val="0"/>
              <w:spacing w:before="0" w:after="283"/>
              <w:jc w:val="left"/>
              <w:rPr/>
            </w:pPr>
            <w:r>
              <w:rPr/>
              <w:t> </w:t>
            </w:r>
          </w:p>
        </w:tc>
        <w:tc>
          <w:tcPr>
            <w:tcW w:w="2185" w:type="dxa"/>
            <w:tcBorders/>
            <w:tcMar>
              <w:bottom w:w="0" w:type="dxa"/>
            </w:tcMar>
            <w:vAlign w:val="bottom"/>
          </w:tcPr>
          <w:p>
            <w:pPr>
              <w:pStyle w:val="TableContents"/>
              <w:bidi w:val="0"/>
              <w:spacing w:before="0" w:after="0"/>
              <w:jc w:val="right"/>
              <w:rPr/>
            </w:pPr>
            <w:r>
              <w:rPr/>
              <w:t>2,707</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9" w:type="dxa"/>
            <w:tcBorders/>
            <w:tcMar>
              <w:bottom w:w="0" w:type="dxa"/>
            </w:tcMar>
            <w:vAlign w:val="bottom"/>
          </w:tcPr>
          <w:p>
            <w:pPr>
              <w:pStyle w:val="TableContents"/>
              <w:bidi w:val="0"/>
              <w:spacing w:before="0" w:after="283"/>
              <w:jc w:val="left"/>
              <w:rPr/>
            </w:pPr>
            <w:r>
              <w:rPr/>
              <w:t> </w:t>
            </w:r>
          </w:p>
        </w:tc>
        <w:tc>
          <w:tcPr>
            <w:tcW w:w="1176" w:type="dxa"/>
            <w:tcBorders/>
            <w:tcMar>
              <w:bottom w:w="0" w:type="dxa"/>
            </w:tcMar>
            <w:vAlign w:val="bottom"/>
          </w:tcPr>
          <w:p>
            <w:pPr>
              <w:pStyle w:val="TableContents"/>
              <w:bidi w:val="0"/>
              <w:spacing w:before="0" w:after="0"/>
              <w:jc w:val="right"/>
              <w:rPr/>
            </w:pPr>
            <w:r>
              <w:rPr/>
              <w:t>-</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1" w:type="dxa"/>
            <w:tcBorders/>
            <w:tcMar>
              <w:bottom w:w="0" w:type="dxa"/>
            </w:tcMar>
            <w:vAlign w:val="bottom"/>
          </w:tcPr>
          <w:p>
            <w:pPr>
              <w:pStyle w:val="TableContents"/>
              <w:bidi w:val="0"/>
              <w:spacing w:before="0" w:after="283"/>
              <w:jc w:val="left"/>
              <w:rPr/>
            </w:pPr>
            <w:r>
              <w:rPr/>
              <w:t> </w:t>
            </w:r>
          </w:p>
        </w:tc>
        <w:tc>
          <w:tcPr>
            <w:tcW w:w="2014" w:type="dxa"/>
            <w:tcBorders/>
            <w:tcMar>
              <w:bottom w:w="0" w:type="dxa"/>
            </w:tcMar>
            <w:vAlign w:val="bottom"/>
          </w:tcPr>
          <w:p>
            <w:pPr>
              <w:pStyle w:val="TableContents"/>
              <w:bidi w:val="0"/>
              <w:spacing w:before="0" w:after="0"/>
              <w:jc w:val="right"/>
              <w:rPr/>
            </w:pPr>
            <w:r>
              <w:rPr/>
              <w:t>2,707</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1" w:type="dxa"/>
            <w:tcBorders/>
            <w:tcMar>
              <w:bottom w:w="0" w:type="dxa"/>
            </w:tcMar>
            <w:vAlign w:val="bottom"/>
          </w:tcPr>
          <w:p>
            <w:pPr>
              <w:pStyle w:val="TableContents"/>
              <w:bidi w:val="0"/>
              <w:spacing w:before="0" w:after="283"/>
              <w:jc w:val="left"/>
              <w:rPr/>
            </w:pPr>
            <w:r>
              <w:rPr/>
              <w:t> </w:t>
            </w:r>
          </w:p>
        </w:tc>
        <w:tc>
          <w:tcPr>
            <w:tcW w:w="2279" w:type="dxa"/>
            <w:tcBorders/>
            <w:tcMar>
              <w:bottom w:w="0" w:type="dxa"/>
            </w:tcMar>
            <w:vAlign w:val="bottom"/>
          </w:tcPr>
          <w:p>
            <w:pPr>
              <w:pStyle w:val="TableContents"/>
              <w:bidi w:val="0"/>
              <w:spacing w:before="0" w:after="0"/>
              <w:jc w:val="right"/>
              <w:rPr/>
            </w:pPr>
            <w:r>
              <w:rPr/>
              <w:t>-</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75"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0" w:type="dxa"/>
            <w:tcBorders/>
            <w:tcMar>
              <w:bottom w:w="0" w:type="dxa"/>
            </w:tcMar>
            <w:vAlign w:val="bottom"/>
          </w:tcPr>
          <w:p>
            <w:pPr>
              <w:pStyle w:val="TableContents"/>
              <w:bidi w:val="0"/>
              <w:spacing w:before="0" w:after="283"/>
              <w:jc w:val="left"/>
              <w:rPr/>
            </w:pPr>
            <w:r>
              <w:rPr/>
              <w:t> </w:t>
            </w:r>
          </w:p>
        </w:tc>
        <w:tc>
          <w:tcPr>
            <w:tcW w:w="1220" w:type="dxa"/>
            <w:tcBorders/>
            <w:tcMar>
              <w:bottom w:w="0" w:type="dxa"/>
            </w:tcMar>
            <w:vAlign w:val="bottom"/>
          </w:tcPr>
          <w:p>
            <w:pPr>
              <w:pStyle w:val="TableContents"/>
              <w:bidi w:val="0"/>
              <w:spacing w:before="0" w:after="0"/>
              <w:jc w:val="right"/>
              <w:rPr/>
            </w:pPr>
            <w:r>
              <w:rPr/>
              <w:t>2,707</w:t>
            </w:r>
          </w:p>
        </w:tc>
        <w:tc>
          <w:tcPr>
            <w:tcW w:w="95" w:type="dxa"/>
            <w:tcBorders/>
            <w:tcMar>
              <w:bottom w:w="0" w:type="dxa"/>
            </w:tcMar>
            <w:vAlign w:val="bottom"/>
          </w:tcPr>
          <w:p>
            <w:pPr>
              <w:pStyle w:val="TableContents"/>
              <w:bidi w:val="0"/>
              <w:spacing w:before="0" w:after="283"/>
              <w:jc w:val="left"/>
              <w:rPr/>
            </w:pPr>
            <w:r>
              <w:rPr/>
              <w:t> </w:t>
            </w:r>
          </w:p>
        </w:tc>
      </w:tr>
      <w:tr>
        <w:trPr/>
        <w:tc>
          <w:tcPr>
            <w:tcW w:w="7370" w:type="dxa"/>
            <w:tcBorders/>
            <w:shd w:fill="CCEEFF" w:val="clear"/>
            <w:tcMar>
              <w:bottom w:w="0" w:type="dxa"/>
            </w:tcMar>
            <w:vAlign w:val="bottom"/>
          </w:tcPr>
          <w:p>
            <w:pPr>
              <w:pStyle w:val="TableContents"/>
              <w:bidi w:val="0"/>
              <w:spacing w:before="0" w:after="0"/>
              <w:jc w:val="left"/>
              <w:rPr/>
            </w:pPr>
            <w:r>
              <w:rPr/>
              <w:t>Other expense, net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50" w:type="dxa"/>
            <w:tcBorders/>
            <w:shd w:fill="CCEEFF" w:val="clear"/>
            <w:tcMar>
              <w:bottom w:w="0" w:type="dxa"/>
            </w:tcMar>
            <w:vAlign w:val="bottom"/>
          </w:tcPr>
          <w:p>
            <w:pPr>
              <w:pStyle w:val="TableContents"/>
              <w:bidi w:val="0"/>
              <w:spacing w:before="0" w:after="283"/>
              <w:jc w:val="left"/>
              <w:rPr/>
            </w:pPr>
            <w:r>
              <w:rPr/>
              <w:t> </w:t>
            </w:r>
          </w:p>
        </w:tc>
        <w:tc>
          <w:tcPr>
            <w:tcW w:w="2185" w:type="dxa"/>
            <w:tcBorders/>
            <w:shd w:fill="CCEEFF" w:val="clear"/>
            <w:tcMar>
              <w:bottom w:w="0" w:type="dxa"/>
            </w:tcMar>
            <w:vAlign w:val="bottom"/>
          </w:tcPr>
          <w:p>
            <w:pPr>
              <w:pStyle w:val="TableContents"/>
              <w:bidi w:val="0"/>
              <w:spacing w:before="0" w:after="0"/>
              <w:jc w:val="right"/>
              <w:rPr/>
            </w:pPr>
            <w:r>
              <w:rPr/>
              <w:t>(1,505</w:t>
            </w:r>
          </w:p>
        </w:tc>
        <w:tc>
          <w:tcPr>
            <w:tcW w:w="95" w:type="dxa"/>
            <w:tcBorders/>
            <w:shd w:fill="CCEEFF" w:val="clear"/>
            <w:tcMar>
              <w:bottom w:w="0" w:type="dxa"/>
            </w:tcMar>
            <w:vAlign w:val="bottom"/>
          </w:tcPr>
          <w:p>
            <w:pPr>
              <w:pStyle w:val="TableContents"/>
              <w:bidi w:val="0"/>
              <w:spacing w:before="0" w:after="0"/>
              <w:jc w:val="left"/>
              <w:rPr/>
            </w:pPr>
            <w:r>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9" w:type="dxa"/>
            <w:tcBorders/>
            <w:shd w:fill="CCEEFF" w:val="clear"/>
            <w:tcMar>
              <w:bottom w:w="0" w:type="dxa"/>
            </w:tcMar>
            <w:vAlign w:val="bottom"/>
          </w:tcPr>
          <w:p>
            <w:pPr>
              <w:pStyle w:val="TableContents"/>
              <w:bidi w:val="0"/>
              <w:spacing w:before="0" w:after="283"/>
              <w:jc w:val="left"/>
              <w:rPr/>
            </w:pPr>
            <w:r>
              <w:rPr/>
              <w:t> </w:t>
            </w:r>
          </w:p>
        </w:tc>
        <w:tc>
          <w:tcPr>
            <w:tcW w:w="1176" w:type="dxa"/>
            <w:tcBorders/>
            <w:shd w:fill="CCEEFF" w:val="clear"/>
            <w:tcMar>
              <w:bottom w:w="0" w:type="dxa"/>
            </w:tcMar>
            <w:vAlign w:val="bottom"/>
          </w:tcPr>
          <w:p>
            <w:pPr>
              <w:pStyle w:val="TableContents"/>
              <w:bidi w:val="0"/>
              <w:spacing w:before="0" w:after="0"/>
              <w:jc w:val="right"/>
              <w:rPr/>
            </w:pPr>
            <w:r>
              <w:rPr/>
              <w:t>403</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2014" w:type="dxa"/>
            <w:tcBorders/>
            <w:shd w:fill="CCEEFF" w:val="clear"/>
            <w:tcMar>
              <w:bottom w:w="0" w:type="dxa"/>
            </w:tcMar>
            <w:vAlign w:val="bottom"/>
          </w:tcPr>
          <w:p>
            <w:pPr>
              <w:pStyle w:val="TableContents"/>
              <w:bidi w:val="0"/>
              <w:spacing w:before="0" w:after="0"/>
              <w:jc w:val="right"/>
              <w:rPr/>
            </w:pPr>
            <w:r>
              <w:rPr/>
              <w:t>(1,102</w:t>
            </w:r>
          </w:p>
        </w:tc>
        <w:tc>
          <w:tcPr>
            <w:tcW w:w="95" w:type="dxa"/>
            <w:tcBorders/>
            <w:shd w:fill="CCEEFF" w:val="clear"/>
            <w:tcMar>
              <w:bottom w:w="0" w:type="dxa"/>
            </w:tcMar>
            <w:vAlign w:val="bottom"/>
          </w:tcPr>
          <w:p>
            <w:pPr>
              <w:pStyle w:val="TableContents"/>
              <w:bidi w:val="0"/>
              <w:spacing w:before="0" w:after="0"/>
              <w:jc w:val="left"/>
              <w:rPr/>
            </w:pPr>
            <w:r>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2279" w:type="dxa"/>
            <w:tcBorders/>
            <w:shd w:fill="CCEEFF" w:val="clear"/>
            <w:tcMar>
              <w:bottom w:w="0" w:type="dxa"/>
            </w:tcMar>
            <w:vAlign w:val="bottom"/>
          </w:tcPr>
          <w:p>
            <w:pPr>
              <w:pStyle w:val="TableContents"/>
              <w:bidi w:val="0"/>
              <w:spacing w:before="0" w:after="0"/>
              <w:jc w:val="right"/>
              <w:rPr/>
            </w:pPr>
            <w:r>
              <w:rPr/>
              <w:t>-</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75" w:type="dxa"/>
            <w:gridSpan w:val="2"/>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1220" w:type="dxa"/>
            <w:tcBorders/>
            <w:shd w:fill="CCEEFF" w:val="clear"/>
            <w:tcMar>
              <w:bottom w:w="0" w:type="dxa"/>
            </w:tcMar>
            <w:vAlign w:val="bottom"/>
          </w:tcPr>
          <w:p>
            <w:pPr>
              <w:pStyle w:val="TableContents"/>
              <w:bidi w:val="0"/>
              <w:spacing w:before="0" w:after="0"/>
              <w:jc w:val="right"/>
              <w:rPr/>
            </w:pPr>
            <w:r>
              <w:rPr/>
              <w:t>(1,102</w:t>
            </w:r>
          </w:p>
        </w:tc>
        <w:tc>
          <w:tcPr>
            <w:tcW w:w="95" w:type="dxa"/>
            <w:tcBorders/>
            <w:shd w:fill="CCEEFF" w:val="clear"/>
            <w:tcMar>
              <w:bottom w:w="0" w:type="dxa"/>
            </w:tcMar>
            <w:vAlign w:val="bottom"/>
          </w:tcPr>
          <w:p>
            <w:pPr>
              <w:pStyle w:val="TableContents"/>
              <w:bidi w:val="0"/>
              <w:spacing w:before="0" w:after="0"/>
              <w:jc w:val="left"/>
              <w:rPr/>
            </w:pPr>
            <w:r>
              <w:rPr/>
              <w:t>)</w:t>
            </w:r>
          </w:p>
        </w:tc>
      </w:tr>
      <w:tr>
        <w:trPr/>
        <w:tc>
          <w:tcPr>
            <w:tcW w:w="7370" w:type="dxa"/>
            <w:tcBorders>
              <w:bottom w:val="single" w:sz="12" w:space="0" w:color="000000"/>
            </w:tcBorders>
            <w:vAlign w:val="bottom"/>
          </w:tcPr>
          <w:p>
            <w:pPr>
              <w:pStyle w:val="TableContents"/>
              <w:bidi w:val="0"/>
              <w:spacing w:before="0" w:after="0"/>
              <w:jc w:val="left"/>
              <w:rPr/>
            </w:pPr>
            <w:r>
              <w:rPr/>
              <w:t>Interest income, net</w:t>
            </w:r>
          </w:p>
        </w:tc>
        <w:tc>
          <w:tcPr>
            <w:tcW w:w="60" w:type="dxa"/>
            <w:tcBorders>
              <w:bottom w:val="single" w:sz="12" w:space="0" w:color="000000"/>
            </w:tcBorders>
            <w:vAlign w:val="bottom"/>
          </w:tcPr>
          <w:p>
            <w:pPr>
              <w:pStyle w:val="TableContents"/>
              <w:bidi w:val="0"/>
              <w:spacing w:before="0" w:after="283"/>
              <w:jc w:val="left"/>
              <w:rPr/>
            </w:pPr>
            <w:r>
              <w:rPr/>
              <w:t> </w:t>
            </w:r>
          </w:p>
        </w:tc>
        <w:tc>
          <w:tcPr>
            <w:tcW w:w="250" w:type="dxa"/>
            <w:tcBorders>
              <w:bottom w:val="single" w:sz="12" w:space="0" w:color="000000"/>
            </w:tcBorders>
            <w:vAlign w:val="bottom"/>
          </w:tcPr>
          <w:p>
            <w:pPr>
              <w:pStyle w:val="TableContents"/>
              <w:bidi w:val="0"/>
              <w:spacing w:before="0" w:after="283"/>
              <w:jc w:val="left"/>
              <w:rPr/>
            </w:pPr>
            <w:r>
              <w:rPr/>
              <w:t> </w:t>
            </w:r>
          </w:p>
        </w:tc>
        <w:tc>
          <w:tcPr>
            <w:tcW w:w="2185" w:type="dxa"/>
            <w:tcBorders>
              <w:bottom w:val="single" w:sz="12" w:space="0" w:color="000000"/>
            </w:tcBorders>
            <w:vAlign w:val="bottom"/>
          </w:tcPr>
          <w:p>
            <w:pPr>
              <w:pStyle w:val="TableContents"/>
              <w:bidi w:val="0"/>
              <w:spacing w:before="0" w:after="0"/>
              <w:jc w:val="right"/>
              <w:rPr/>
            </w:pPr>
            <w:r>
              <w:rPr/>
              <w:t>1,747</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49" w:type="dxa"/>
            <w:tcBorders>
              <w:bottom w:val="single" w:sz="12" w:space="0" w:color="000000"/>
            </w:tcBorders>
            <w:vAlign w:val="bottom"/>
          </w:tcPr>
          <w:p>
            <w:pPr>
              <w:pStyle w:val="TableContents"/>
              <w:bidi w:val="0"/>
              <w:spacing w:before="0" w:after="283"/>
              <w:jc w:val="left"/>
              <w:rPr/>
            </w:pPr>
            <w:r>
              <w:rPr/>
              <w:t> </w:t>
            </w:r>
          </w:p>
        </w:tc>
        <w:tc>
          <w:tcPr>
            <w:tcW w:w="1176" w:type="dxa"/>
            <w:tcBorders>
              <w:bottom w:val="single" w:sz="12" w:space="0" w:color="000000"/>
            </w:tcBorders>
            <w:vAlign w:val="bottom"/>
          </w:tcPr>
          <w:p>
            <w:pPr>
              <w:pStyle w:val="TableContents"/>
              <w:bidi w:val="0"/>
              <w:spacing w:before="0" w:after="0"/>
              <w:jc w:val="right"/>
              <w:rPr/>
            </w:pPr>
            <w:r>
              <w:rPr/>
              <w:t>1,905</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51" w:type="dxa"/>
            <w:tcBorders>
              <w:bottom w:val="single" w:sz="12" w:space="0" w:color="000000"/>
            </w:tcBorders>
            <w:vAlign w:val="bottom"/>
          </w:tcPr>
          <w:p>
            <w:pPr>
              <w:pStyle w:val="TableContents"/>
              <w:bidi w:val="0"/>
              <w:spacing w:before="0" w:after="283"/>
              <w:jc w:val="left"/>
              <w:rPr/>
            </w:pPr>
            <w:r>
              <w:rPr/>
              <w:t> </w:t>
            </w:r>
          </w:p>
        </w:tc>
        <w:tc>
          <w:tcPr>
            <w:tcW w:w="2014" w:type="dxa"/>
            <w:tcBorders>
              <w:bottom w:val="single" w:sz="12" w:space="0" w:color="000000"/>
            </w:tcBorders>
            <w:vAlign w:val="bottom"/>
          </w:tcPr>
          <w:p>
            <w:pPr>
              <w:pStyle w:val="TableContents"/>
              <w:bidi w:val="0"/>
              <w:spacing w:before="0" w:after="0"/>
              <w:jc w:val="right"/>
              <w:rPr/>
            </w:pPr>
            <w:r>
              <w:rPr/>
              <w:t>3,652</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01" w:type="dxa"/>
            <w:tcBorders>
              <w:bottom w:val="single" w:sz="12" w:space="0" w:color="000000"/>
            </w:tcBorders>
            <w:vAlign w:val="bottom"/>
          </w:tcPr>
          <w:p>
            <w:pPr>
              <w:pStyle w:val="TableContents"/>
              <w:bidi w:val="0"/>
              <w:spacing w:before="0" w:after="283"/>
              <w:jc w:val="left"/>
              <w:rPr/>
            </w:pPr>
            <w:r>
              <w:rPr/>
              <w:t> </w:t>
            </w:r>
          </w:p>
        </w:tc>
        <w:tc>
          <w:tcPr>
            <w:tcW w:w="2279" w:type="dxa"/>
            <w:tcBorders>
              <w:bottom w:val="single" w:sz="12" w:space="0" w:color="000000"/>
            </w:tcBorders>
            <w:vAlign w:val="bottom"/>
          </w:tcPr>
          <w:p>
            <w:pPr>
              <w:pStyle w:val="TableContents"/>
              <w:bidi w:val="0"/>
              <w:spacing w:before="0" w:after="0"/>
              <w:jc w:val="right"/>
              <w:rPr/>
            </w:pPr>
            <w:r>
              <w:rPr/>
              <w:t>-</w:t>
            </w:r>
          </w:p>
        </w:tc>
        <w:tc>
          <w:tcPr>
            <w:tcW w:w="15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875" w:type="dxa"/>
            <w:gridSpan w:val="2"/>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1220" w:type="dxa"/>
            <w:tcBorders>
              <w:bottom w:val="single" w:sz="12" w:space="0" w:color="000000"/>
            </w:tcBorders>
            <w:vAlign w:val="bottom"/>
          </w:tcPr>
          <w:p>
            <w:pPr>
              <w:pStyle w:val="TableContents"/>
              <w:bidi w:val="0"/>
              <w:spacing w:before="0" w:after="0"/>
              <w:jc w:val="right"/>
              <w:rPr/>
            </w:pPr>
            <w:r>
              <w:rPr/>
              <w:t>3,652</w:t>
            </w:r>
          </w:p>
        </w:tc>
        <w:tc>
          <w:tcPr>
            <w:tcW w:w="95" w:type="dxa"/>
            <w:tcBorders/>
            <w:tcMar>
              <w:bottom w:w="0" w:type="dxa"/>
            </w:tcMar>
            <w:vAlign w:val="bottom"/>
          </w:tcPr>
          <w:p>
            <w:pPr>
              <w:pStyle w:val="TableContents"/>
              <w:bidi w:val="0"/>
              <w:spacing w:before="0" w:after="283"/>
              <w:jc w:val="left"/>
              <w:rPr/>
            </w:pPr>
            <w:r>
              <w:rPr/>
              <w:t> </w:t>
            </w:r>
          </w:p>
        </w:tc>
      </w:tr>
      <w:tr>
        <w:trPr/>
        <w:tc>
          <w:tcPr>
            <w:tcW w:w="7370" w:type="dxa"/>
            <w:tcBorders/>
            <w:shd w:fill="CCEEFF" w:val="clear"/>
            <w:tcMar>
              <w:bottom w:w="0" w:type="dxa"/>
            </w:tcMar>
            <w:vAlign w:val="bottom"/>
          </w:tcPr>
          <w:p>
            <w:pPr>
              <w:pStyle w:val="TableContents"/>
              <w:bidi w:val="0"/>
              <w:spacing w:before="0" w:after="0"/>
              <w:jc w:val="left"/>
              <w:rPr>
                <w:b/>
              </w:rPr>
            </w:pPr>
            <w:r>
              <w:rPr>
                <w:b/>
              </w:rPr>
              <w:t>Income (loss) before income taxes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50" w:type="dxa"/>
            <w:tcBorders/>
            <w:shd w:fill="CCEEFF" w:val="clear"/>
            <w:tcMar>
              <w:bottom w:w="0" w:type="dxa"/>
            </w:tcMar>
            <w:vAlign w:val="bottom"/>
          </w:tcPr>
          <w:p>
            <w:pPr>
              <w:pStyle w:val="TableContents"/>
              <w:bidi w:val="0"/>
              <w:spacing w:before="0" w:after="283"/>
              <w:jc w:val="left"/>
              <w:rPr/>
            </w:pPr>
            <w:r>
              <w:rPr/>
              <w:t> </w:t>
            </w:r>
          </w:p>
        </w:tc>
        <w:tc>
          <w:tcPr>
            <w:tcW w:w="2185" w:type="dxa"/>
            <w:tcBorders/>
            <w:shd w:fill="CCEEFF" w:val="clear"/>
            <w:tcMar>
              <w:bottom w:w="0" w:type="dxa"/>
            </w:tcMar>
            <w:vAlign w:val="bottom"/>
          </w:tcPr>
          <w:p>
            <w:pPr>
              <w:pStyle w:val="TableContents"/>
              <w:bidi w:val="0"/>
              <w:spacing w:before="0" w:after="0"/>
              <w:jc w:val="right"/>
              <w:rPr>
                <w:b/>
              </w:rPr>
            </w:pPr>
            <w:r>
              <w:rPr>
                <w:b/>
              </w:rPr>
              <w:t>14,436</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9" w:type="dxa"/>
            <w:tcBorders/>
            <w:shd w:fill="CCEEFF" w:val="clear"/>
            <w:tcMar>
              <w:bottom w:w="0" w:type="dxa"/>
            </w:tcMar>
            <w:vAlign w:val="bottom"/>
          </w:tcPr>
          <w:p>
            <w:pPr>
              <w:pStyle w:val="TableContents"/>
              <w:bidi w:val="0"/>
              <w:spacing w:before="0" w:after="283"/>
              <w:jc w:val="left"/>
              <w:rPr/>
            </w:pPr>
            <w:r>
              <w:rPr/>
              <w:t> </w:t>
            </w:r>
          </w:p>
        </w:tc>
        <w:tc>
          <w:tcPr>
            <w:tcW w:w="1176" w:type="dxa"/>
            <w:tcBorders/>
            <w:shd w:fill="CCEEFF" w:val="clear"/>
            <w:tcMar>
              <w:bottom w:w="0" w:type="dxa"/>
            </w:tcMar>
            <w:vAlign w:val="bottom"/>
          </w:tcPr>
          <w:p>
            <w:pPr>
              <w:pStyle w:val="TableContents"/>
              <w:bidi w:val="0"/>
              <w:spacing w:before="0" w:after="0"/>
              <w:jc w:val="right"/>
              <w:rPr>
                <w:b/>
              </w:rPr>
            </w:pPr>
            <w:r>
              <w:rPr>
                <w:b/>
              </w:rPr>
              <w:t>(11,895</w:t>
            </w:r>
          </w:p>
        </w:tc>
        <w:tc>
          <w:tcPr>
            <w:tcW w:w="95" w:type="dxa"/>
            <w:tcBorders/>
            <w:shd w:fill="CCEEFF" w:val="clear"/>
            <w:tcMar>
              <w:bottom w:w="0" w:type="dxa"/>
            </w:tcMar>
            <w:vAlign w:val="bottom"/>
          </w:tcPr>
          <w:p>
            <w:pPr>
              <w:pStyle w:val="TableContents"/>
              <w:bidi w:val="0"/>
              <w:spacing w:before="0" w:after="0"/>
              <w:jc w:val="left"/>
              <w:rPr>
                <w:b/>
              </w:rPr>
            </w:pPr>
            <w:r>
              <w:rPr>
                <w:b/>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2014" w:type="dxa"/>
            <w:tcBorders/>
            <w:shd w:fill="CCEEFF" w:val="clear"/>
            <w:tcMar>
              <w:bottom w:w="0" w:type="dxa"/>
            </w:tcMar>
            <w:vAlign w:val="bottom"/>
          </w:tcPr>
          <w:p>
            <w:pPr>
              <w:pStyle w:val="TableContents"/>
              <w:bidi w:val="0"/>
              <w:spacing w:before="0" w:after="0"/>
              <w:jc w:val="right"/>
              <w:rPr>
                <w:b/>
              </w:rPr>
            </w:pPr>
            <w:r>
              <w:rPr>
                <w:b/>
              </w:rPr>
              <w:t>2,541</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2279" w:type="dxa"/>
            <w:tcBorders/>
            <w:shd w:fill="CCEEFF" w:val="clear"/>
            <w:tcMar>
              <w:bottom w:w="0" w:type="dxa"/>
            </w:tcMar>
            <w:vAlign w:val="bottom"/>
          </w:tcPr>
          <w:p>
            <w:pPr>
              <w:pStyle w:val="TableContents"/>
              <w:bidi w:val="0"/>
              <w:spacing w:before="0" w:after="0"/>
              <w:jc w:val="right"/>
              <w:rPr>
                <w:b/>
              </w:rPr>
            </w:pPr>
            <w:r>
              <w:rPr>
                <w:b/>
              </w:rPr>
              <w:t>(302</w:t>
            </w:r>
          </w:p>
        </w:tc>
        <w:tc>
          <w:tcPr>
            <w:tcW w:w="155" w:type="dxa"/>
            <w:tcBorders/>
            <w:shd w:fill="CCEEFF" w:val="clear"/>
            <w:tcMar>
              <w:bottom w:w="0" w:type="dxa"/>
            </w:tcMar>
            <w:vAlign w:val="bottom"/>
          </w:tcPr>
          <w:p>
            <w:pPr>
              <w:pStyle w:val="TableContents"/>
              <w:bidi w:val="0"/>
              <w:spacing w:before="0" w:after="283"/>
              <w:jc w:val="left"/>
              <w:rPr/>
            </w:pPr>
            <w:r>
              <w:rPr/>
              <w:t xml:space="preserve">)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75" w:type="dxa"/>
            <w:gridSpan w:val="2"/>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1220" w:type="dxa"/>
            <w:tcBorders/>
            <w:shd w:fill="CCEEFF" w:val="clear"/>
            <w:tcMar>
              <w:bottom w:w="0" w:type="dxa"/>
            </w:tcMar>
            <w:vAlign w:val="bottom"/>
          </w:tcPr>
          <w:p>
            <w:pPr>
              <w:pStyle w:val="TableContents"/>
              <w:bidi w:val="0"/>
              <w:spacing w:before="0" w:after="0"/>
              <w:jc w:val="right"/>
              <w:rPr>
                <w:b/>
              </w:rPr>
            </w:pPr>
            <w:r>
              <w:rPr>
                <w:b/>
              </w:rPr>
              <w:t>2,239</w:t>
            </w:r>
          </w:p>
        </w:tc>
        <w:tc>
          <w:tcPr>
            <w:tcW w:w="95" w:type="dxa"/>
            <w:tcBorders/>
            <w:shd w:fill="CCEEFF" w:val="clear"/>
            <w:tcMar>
              <w:bottom w:w="0" w:type="dxa"/>
            </w:tcMar>
            <w:vAlign w:val="bottom"/>
          </w:tcPr>
          <w:p>
            <w:pPr>
              <w:pStyle w:val="TableContents"/>
              <w:bidi w:val="0"/>
              <w:spacing w:before="0" w:after="283"/>
              <w:jc w:val="left"/>
              <w:rPr/>
            </w:pPr>
            <w:r>
              <w:rPr/>
            </w:r>
          </w:p>
        </w:tc>
      </w:tr>
      <w:tr>
        <w:trPr/>
        <w:tc>
          <w:tcPr>
            <w:tcW w:w="7370" w:type="dxa"/>
            <w:tcBorders>
              <w:bottom w:val="single" w:sz="12" w:space="0" w:color="000000"/>
            </w:tcBorders>
            <w:vAlign w:val="bottom"/>
          </w:tcPr>
          <w:p>
            <w:pPr>
              <w:pStyle w:val="TableContents"/>
              <w:bidi w:val="0"/>
              <w:spacing w:before="0" w:after="0"/>
              <w:jc w:val="left"/>
              <w:rPr/>
            </w:pPr>
            <w:r>
              <w:rPr/>
              <w:t>Provision for income taxes</w:t>
            </w:r>
          </w:p>
        </w:tc>
        <w:tc>
          <w:tcPr>
            <w:tcW w:w="60" w:type="dxa"/>
            <w:tcBorders>
              <w:bottom w:val="single" w:sz="12" w:space="0" w:color="000000"/>
            </w:tcBorders>
            <w:vAlign w:val="bottom"/>
          </w:tcPr>
          <w:p>
            <w:pPr>
              <w:pStyle w:val="TableContents"/>
              <w:bidi w:val="0"/>
              <w:spacing w:before="0" w:after="283"/>
              <w:jc w:val="left"/>
              <w:rPr/>
            </w:pPr>
            <w:r>
              <w:rPr/>
              <w:t> </w:t>
            </w:r>
          </w:p>
        </w:tc>
        <w:tc>
          <w:tcPr>
            <w:tcW w:w="250" w:type="dxa"/>
            <w:tcBorders>
              <w:bottom w:val="single" w:sz="12" w:space="0" w:color="000000"/>
            </w:tcBorders>
            <w:vAlign w:val="bottom"/>
          </w:tcPr>
          <w:p>
            <w:pPr>
              <w:pStyle w:val="TableContents"/>
              <w:bidi w:val="0"/>
              <w:spacing w:before="0" w:after="283"/>
              <w:jc w:val="left"/>
              <w:rPr/>
            </w:pPr>
            <w:r>
              <w:rPr/>
              <w:t> </w:t>
            </w:r>
          </w:p>
        </w:tc>
        <w:tc>
          <w:tcPr>
            <w:tcW w:w="2185" w:type="dxa"/>
            <w:tcBorders>
              <w:bottom w:val="single" w:sz="12" w:space="0" w:color="000000"/>
            </w:tcBorders>
            <w:vAlign w:val="bottom"/>
          </w:tcPr>
          <w:p>
            <w:pPr>
              <w:pStyle w:val="TableContents"/>
              <w:bidi w:val="0"/>
              <w:spacing w:before="0" w:after="0"/>
              <w:jc w:val="right"/>
              <w:rPr/>
            </w:pPr>
            <w:r>
              <w:rPr/>
              <w:t>(4,556</w:t>
            </w:r>
          </w:p>
        </w:tc>
        <w:tc>
          <w:tcPr>
            <w:tcW w:w="95" w:type="dxa"/>
            <w:tcBorders>
              <w:bottom w:val="single" w:sz="12" w:space="0" w:color="000000"/>
            </w:tcBorders>
            <w:vAlign w:val="bottom"/>
          </w:tcPr>
          <w:p>
            <w:pPr>
              <w:pStyle w:val="TableContents"/>
              <w:bidi w:val="0"/>
              <w:spacing w:before="0" w:after="0"/>
              <w:jc w:val="left"/>
              <w:rPr/>
            </w:pPr>
            <w:r>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149" w:type="dxa"/>
            <w:tcBorders>
              <w:bottom w:val="single" w:sz="12" w:space="0" w:color="000000"/>
            </w:tcBorders>
            <w:vAlign w:val="bottom"/>
          </w:tcPr>
          <w:p>
            <w:pPr>
              <w:pStyle w:val="TableContents"/>
              <w:bidi w:val="0"/>
              <w:spacing w:before="0" w:after="283"/>
              <w:jc w:val="left"/>
              <w:rPr/>
            </w:pPr>
            <w:r>
              <w:rPr/>
              <w:t> </w:t>
            </w:r>
          </w:p>
        </w:tc>
        <w:tc>
          <w:tcPr>
            <w:tcW w:w="1176" w:type="dxa"/>
            <w:tcBorders>
              <w:bottom w:val="single" w:sz="12" w:space="0" w:color="000000"/>
            </w:tcBorders>
            <w:vAlign w:val="bottom"/>
          </w:tcPr>
          <w:p>
            <w:pPr>
              <w:pStyle w:val="TableContents"/>
              <w:bidi w:val="0"/>
              <w:spacing w:before="0" w:after="0"/>
              <w:jc w:val="right"/>
              <w:rPr/>
            </w:pPr>
            <w:r>
              <w:rPr/>
              <w:t>1,090</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51" w:type="dxa"/>
            <w:tcBorders>
              <w:bottom w:val="single" w:sz="12" w:space="0" w:color="000000"/>
            </w:tcBorders>
            <w:vAlign w:val="bottom"/>
          </w:tcPr>
          <w:p>
            <w:pPr>
              <w:pStyle w:val="TableContents"/>
              <w:bidi w:val="0"/>
              <w:spacing w:before="0" w:after="283"/>
              <w:jc w:val="left"/>
              <w:rPr/>
            </w:pPr>
            <w:r>
              <w:rPr/>
              <w:t> </w:t>
            </w:r>
          </w:p>
        </w:tc>
        <w:tc>
          <w:tcPr>
            <w:tcW w:w="2014" w:type="dxa"/>
            <w:tcBorders>
              <w:bottom w:val="single" w:sz="12" w:space="0" w:color="000000"/>
            </w:tcBorders>
            <w:vAlign w:val="bottom"/>
          </w:tcPr>
          <w:p>
            <w:pPr>
              <w:pStyle w:val="TableContents"/>
              <w:bidi w:val="0"/>
              <w:spacing w:before="0" w:after="0"/>
              <w:jc w:val="right"/>
              <w:rPr/>
            </w:pPr>
            <w:r>
              <w:rPr/>
              <w:t>(3,466</w:t>
            </w:r>
          </w:p>
        </w:tc>
        <w:tc>
          <w:tcPr>
            <w:tcW w:w="95" w:type="dxa"/>
            <w:tcBorders>
              <w:bottom w:val="single" w:sz="12" w:space="0" w:color="000000"/>
            </w:tcBorders>
            <w:vAlign w:val="bottom"/>
          </w:tcPr>
          <w:p>
            <w:pPr>
              <w:pStyle w:val="TableContents"/>
              <w:bidi w:val="0"/>
              <w:spacing w:before="0" w:after="0"/>
              <w:jc w:val="left"/>
              <w:rPr/>
            </w:pPr>
            <w:r>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201" w:type="dxa"/>
            <w:tcBorders>
              <w:bottom w:val="single" w:sz="12" w:space="0" w:color="000000"/>
            </w:tcBorders>
            <w:vAlign w:val="bottom"/>
          </w:tcPr>
          <w:p>
            <w:pPr>
              <w:pStyle w:val="TableContents"/>
              <w:bidi w:val="0"/>
              <w:spacing w:before="0" w:after="283"/>
              <w:jc w:val="left"/>
              <w:rPr/>
            </w:pPr>
            <w:r>
              <w:rPr/>
              <w:t> </w:t>
            </w:r>
          </w:p>
        </w:tc>
        <w:tc>
          <w:tcPr>
            <w:tcW w:w="2279" w:type="dxa"/>
            <w:tcBorders>
              <w:bottom w:val="single" w:sz="12" w:space="0" w:color="000000"/>
            </w:tcBorders>
            <w:vAlign w:val="bottom"/>
          </w:tcPr>
          <w:p>
            <w:pPr>
              <w:pStyle w:val="TableContents"/>
              <w:bidi w:val="0"/>
              <w:spacing w:before="0" w:after="0"/>
              <w:jc w:val="right"/>
              <w:rPr/>
            </w:pPr>
            <w:r>
              <w:rPr/>
              <w:t>-</w:t>
            </w:r>
          </w:p>
        </w:tc>
        <w:tc>
          <w:tcPr>
            <w:tcW w:w="15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875" w:type="dxa"/>
            <w:gridSpan w:val="2"/>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1220" w:type="dxa"/>
            <w:tcBorders>
              <w:bottom w:val="single" w:sz="12" w:space="0" w:color="000000"/>
            </w:tcBorders>
            <w:vAlign w:val="bottom"/>
          </w:tcPr>
          <w:p>
            <w:pPr>
              <w:pStyle w:val="TableContents"/>
              <w:bidi w:val="0"/>
              <w:spacing w:before="0" w:after="0"/>
              <w:jc w:val="right"/>
              <w:rPr/>
            </w:pPr>
            <w:r>
              <w:rPr/>
              <w:t>(3,466</w:t>
            </w:r>
          </w:p>
        </w:tc>
        <w:tc>
          <w:tcPr>
            <w:tcW w:w="95" w:type="dxa"/>
            <w:tcBorders/>
            <w:tcMar>
              <w:bottom w:w="0" w:type="dxa"/>
            </w:tcMar>
            <w:vAlign w:val="bottom"/>
          </w:tcPr>
          <w:p>
            <w:pPr>
              <w:pStyle w:val="TableContents"/>
              <w:bidi w:val="0"/>
              <w:spacing w:before="0" w:after="0"/>
              <w:jc w:val="left"/>
              <w:rPr/>
            </w:pPr>
            <w:r>
              <w:rPr/>
              <w:t>)</w:t>
            </w:r>
          </w:p>
        </w:tc>
      </w:tr>
      <w:tr>
        <w:trPr/>
        <w:tc>
          <w:tcPr>
            <w:tcW w:w="7370" w:type="dxa"/>
            <w:tcBorders>
              <w:bottom w:val="single" w:sz="12" w:space="0" w:color="000000"/>
            </w:tcBorders>
            <w:shd w:fill="CCEEFF" w:val="clear"/>
            <w:vAlign w:val="bottom"/>
          </w:tcPr>
          <w:p>
            <w:pPr>
              <w:pStyle w:val="TableContents"/>
              <w:bidi w:val="0"/>
              <w:spacing w:before="0" w:after="0"/>
              <w:jc w:val="left"/>
              <w:rPr>
                <w:b/>
              </w:rPr>
            </w:pPr>
            <w:r>
              <w:rPr>
                <w:b/>
              </w:rPr>
              <w:t>Net income (loss)</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50" w:type="dxa"/>
            <w:tcBorders>
              <w:bottom w:val="single" w:sz="12" w:space="0" w:color="000000"/>
            </w:tcBorders>
            <w:shd w:fill="CCEEFF" w:val="clear"/>
            <w:vAlign w:val="bottom"/>
          </w:tcPr>
          <w:p>
            <w:pPr>
              <w:pStyle w:val="TableContents"/>
              <w:bidi w:val="0"/>
              <w:spacing w:before="0" w:after="283"/>
              <w:jc w:val="left"/>
              <w:rPr/>
            </w:pPr>
            <w:r>
              <w:rPr/>
              <w:t> </w:t>
            </w:r>
          </w:p>
        </w:tc>
        <w:tc>
          <w:tcPr>
            <w:tcW w:w="2185" w:type="dxa"/>
            <w:tcBorders>
              <w:bottom w:val="single" w:sz="12" w:space="0" w:color="000000"/>
            </w:tcBorders>
            <w:shd w:fill="CCEEFF" w:val="clear"/>
            <w:vAlign w:val="bottom"/>
          </w:tcPr>
          <w:p>
            <w:pPr>
              <w:pStyle w:val="TableContents"/>
              <w:bidi w:val="0"/>
              <w:spacing w:before="0" w:after="0"/>
              <w:jc w:val="right"/>
              <w:rPr>
                <w:b/>
              </w:rPr>
            </w:pPr>
            <w:r>
              <w:rPr>
                <w:b/>
              </w:rPr>
              <w:t>9,880</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49" w:type="dxa"/>
            <w:tcBorders>
              <w:bottom w:val="single" w:sz="12" w:space="0" w:color="000000"/>
            </w:tcBorders>
            <w:shd w:fill="CCEEFF" w:val="clear"/>
            <w:vAlign w:val="bottom"/>
          </w:tcPr>
          <w:p>
            <w:pPr>
              <w:pStyle w:val="TableContents"/>
              <w:bidi w:val="0"/>
              <w:spacing w:before="0" w:after="283"/>
              <w:jc w:val="left"/>
              <w:rPr/>
            </w:pPr>
            <w:r>
              <w:rPr/>
              <w:t> </w:t>
            </w:r>
          </w:p>
        </w:tc>
        <w:tc>
          <w:tcPr>
            <w:tcW w:w="1176" w:type="dxa"/>
            <w:tcBorders>
              <w:bottom w:val="single" w:sz="12" w:space="0" w:color="000000"/>
            </w:tcBorders>
            <w:shd w:fill="CCEEFF" w:val="clear"/>
            <w:vAlign w:val="bottom"/>
          </w:tcPr>
          <w:p>
            <w:pPr>
              <w:pStyle w:val="TableContents"/>
              <w:bidi w:val="0"/>
              <w:spacing w:before="0" w:after="0"/>
              <w:jc w:val="right"/>
              <w:rPr>
                <w:b/>
              </w:rPr>
            </w:pPr>
            <w:r>
              <w:rPr>
                <w:b/>
              </w:rPr>
              <w:t>(10,805</w:t>
            </w:r>
          </w:p>
        </w:tc>
        <w:tc>
          <w:tcPr>
            <w:tcW w:w="95" w:type="dxa"/>
            <w:tcBorders>
              <w:bottom w:val="single" w:sz="12" w:space="0" w:color="000000"/>
            </w:tcBorders>
            <w:shd w:fill="CCEEFF" w:val="clear"/>
            <w:vAlign w:val="bottom"/>
          </w:tcPr>
          <w:p>
            <w:pPr>
              <w:pStyle w:val="TableContents"/>
              <w:bidi w:val="0"/>
              <w:spacing w:before="0" w:after="0"/>
              <w:jc w:val="left"/>
              <w:rPr>
                <w:b/>
              </w:rPr>
            </w:pPr>
            <w:r>
              <w:rPr>
                <w:b/>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vAlign w:val="bottom"/>
          </w:tcPr>
          <w:p>
            <w:pPr>
              <w:pStyle w:val="TableContents"/>
              <w:bidi w:val="0"/>
              <w:spacing w:before="0" w:after="283"/>
              <w:jc w:val="left"/>
              <w:rPr/>
            </w:pPr>
            <w:r>
              <w:rPr/>
              <w:t> </w:t>
            </w:r>
          </w:p>
        </w:tc>
        <w:tc>
          <w:tcPr>
            <w:tcW w:w="2014" w:type="dxa"/>
            <w:tcBorders>
              <w:bottom w:val="single" w:sz="12" w:space="0" w:color="000000"/>
            </w:tcBorders>
            <w:shd w:fill="CCEEFF" w:val="clear"/>
            <w:vAlign w:val="bottom"/>
          </w:tcPr>
          <w:p>
            <w:pPr>
              <w:pStyle w:val="TableContents"/>
              <w:bidi w:val="0"/>
              <w:spacing w:before="0" w:after="0"/>
              <w:jc w:val="right"/>
              <w:rPr>
                <w:b/>
              </w:rPr>
            </w:pPr>
            <w:r>
              <w:rPr>
                <w:b/>
              </w:rPr>
              <w:t>(925</w:t>
            </w:r>
          </w:p>
        </w:tc>
        <w:tc>
          <w:tcPr>
            <w:tcW w:w="95" w:type="dxa"/>
            <w:tcBorders>
              <w:bottom w:val="single" w:sz="12" w:space="0" w:color="000000"/>
            </w:tcBorders>
            <w:shd w:fill="CCEEFF" w:val="clear"/>
            <w:vAlign w:val="bottom"/>
          </w:tcPr>
          <w:p>
            <w:pPr>
              <w:pStyle w:val="TableContents"/>
              <w:bidi w:val="0"/>
              <w:spacing w:before="0" w:after="0"/>
              <w:jc w:val="left"/>
              <w:rPr>
                <w:b/>
              </w:rPr>
            </w:pPr>
            <w:r>
              <w:rPr>
                <w:b/>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vAlign w:val="bottom"/>
          </w:tcPr>
          <w:p>
            <w:pPr>
              <w:pStyle w:val="TableContents"/>
              <w:bidi w:val="0"/>
              <w:spacing w:before="0" w:after="283"/>
              <w:jc w:val="left"/>
              <w:rPr/>
            </w:pPr>
            <w:r>
              <w:rPr/>
              <w:t> </w:t>
            </w:r>
          </w:p>
        </w:tc>
        <w:tc>
          <w:tcPr>
            <w:tcW w:w="2279" w:type="dxa"/>
            <w:tcBorders>
              <w:bottom w:val="single" w:sz="12" w:space="0" w:color="000000"/>
            </w:tcBorders>
            <w:shd w:fill="CCEEFF" w:val="clear"/>
            <w:vAlign w:val="bottom"/>
          </w:tcPr>
          <w:p>
            <w:pPr>
              <w:pStyle w:val="TableContents"/>
              <w:bidi w:val="0"/>
              <w:spacing w:before="0" w:after="0"/>
              <w:jc w:val="right"/>
              <w:rPr>
                <w:b/>
              </w:rPr>
            </w:pPr>
            <w:r>
              <w:rPr>
                <w:b/>
              </w:rPr>
              <w:t>(302</w:t>
            </w:r>
          </w:p>
        </w:tc>
        <w:tc>
          <w:tcPr>
            <w:tcW w:w="155" w:type="dxa"/>
            <w:tcBorders>
              <w:bottom w:val="single" w:sz="12" w:space="0" w:color="000000"/>
            </w:tcBorders>
            <w:shd w:fill="CCEEFF" w:val="clear"/>
            <w:vAlign w:val="bottom"/>
          </w:tcPr>
          <w:p>
            <w:pPr>
              <w:pStyle w:val="TableContents"/>
              <w:bidi w:val="0"/>
              <w:spacing w:before="0" w:after="283"/>
              <w:jc w:val="left"/>
              <w:rPr/>
            </w:pPr>
            <w:r>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875" w:type="dxa"/>
            <w:gridSpan w:val="2"/>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vAlign w:val="bottom"/>
          </w:tcPr>
          <w:p>
            <w:pPr>
              <w:pStyle w:val="TableContents"/>
              <w:bidi w:val="0"/>
              <w:spacing w:before="0" w:after="283"/>
              <w:jc w:val="left"/>
              <w:rPr/>
            </w:pPr>
            <w:r>
              <w:rPr/>
              <w:t> </w:t>
            </w:r>
          </w:p>
        </w:tc>
        <w:tc>
          <w:tcPr>
            <w:tcW w:w="1220" w:type="dxa"/>
            <w:tcBorders>
              <w:bottom w:val="single" w:sz="12" w:space="0" w:color="000000"/>
            </w:tcBorders>
            <w:shd w:fill="CCEEFF" w:val="clear"/>
            <w:vAlign w:val="bottom"/>
          </w:tcPr>
          <w:p>
            <w:pPr>
              <w:pStyle w:val="TableContents"/>
              <w:bidi w:val="0"/>
              <w:spacing w:before="0" w:after="0"/>
              <w:jc w:val="right"/>
              <w:rPr>
                <w:b/>
              </w:rPr>
            </w:pPr>
            <w:r>
              <w:rPr>
                <w:b/>
              </w:rPr>
              <w:t>(1,227</w:t>
            </w:r>
          </w:p>
        </w:tc>
        <w:tc>
          <w:tcPr>
            <w:tcW w:w="95" w:type="dxa"/>
            <w:tcBorders/>
            <w:shd w:fill="CCEEFF" w:val="clear"/>
            <w:tcMar>
              <w:bottom w:w="0" w:type="dxa"/>
            </w:tcMar>
            <w:vAlign w:val="bottom"/>
          </w:tcPr>
          <w:p>
            <w:pPr>
              <w:pStyle w:val="TableContents"/>
              <w:bidi w:val="0"/>
              <w:spacing w:before="0" w:after="0"/>
              <w:jc w:val="left"/>
              <w:rPr>
                <w:b/>
              </w:rPr>
            </w:pPr>
            <w:r>
              <w:rPr>
                <w:b/>
              </w:rPr>
              <w:t>)</w:t>
            </w:r>
          </w:p>
        </w:tc>
      </w:tr>
      <w:tr>
        <w:trPr/>
        <w:tc>
          <w:tcPr>
            <w:tcW w:w="7370" w:type="dxa"/>
            <w:tcBorders/>
            <w:tcMar>
              <w:bottom w:w="0" w:type="dxa"/>
            </w:tcMar>
            <w:vAlign w:val="bottom"/>
          </w:tcPr>
          <w:p>
            <w:pPr>
              <w:pStyle w:val="TableContents"/>
              <w:bidi w:val="0"/>
              <w:spacing w:before="0" w:after="0"/>
              <w:jc w:val="left"/>
              <w:rPr>
                <w:b/>
              </w:rPr>
            </w:pPr>
            <w:r>
              <w:rPr>
                <w:b/>
              </w:rPr>
              <w:t>Net income (loss) attributable to non-controlling interest</w:t>
            </w:r>
          </w:p>
        </w:tc>
        <w:tc>
          <w:tcPr>
            <w:tcW w:w="60" w:type="dxa"/>
            <w:tcBorders/>
            <w:tcMar>
              <w:bottom w:w="0" w:type="dxa"/>
            </w:tcMar>
            <w:vAlign w:val="bottom"/>
          </w:tcPr>
          <w:p>
            <w:pPr>
              <w:pStyle w:val="TableContents"/>
              <w:bidi w:val="0"/>
              <w:spacing w:before="0" w:after="283"/>
              <w:jc w:val="left"/>
              <w:rPr/>
            </w:pPr>
            <w:r>
              <w:rPr/>
              <w:t> </w:t>
            </w:r>
          </w:p>
        </w:tc>
        <w:tc>
          <w:tcPr>
            <w:tcW w:w="250" w:type="dxa"/>
            <w:tcBorders/>
            <w:tcMar>
              <w:bottom w:w="0" w:type="dxa"/>
            </w:tcMar>
            <w:vAlign w:val="bottom"/>
          </w:tcPr>
          <w:p>
            <w:pPr>
              <w:pStyle w:val="TableContents"/>
              <w:bidi w:val="0"/>
              <w:spacing w:before="0" w:after="283"/>
              <w:jc w:val="left"/>
              <w:rPr/>
            </w:pPr>
            <w:r>
              <w:rPr/>
              <w:t> </w:t>
            </w:r>
          </w:p>
        </w:tc>
        <w:tc>
          <w:tcPr>
            <w:tcW w:w="2185" w:type="dxa"/>
            <w:tcBorders/>
            <w:tcMar>
              <w:bottom w:w="0" w:type="dxa"/>
            </w:tcMar>
            <w:vAlign w:val="bottom"/>
          </w:tcPr>
          <w:p>
            <w:pPr>
              <w:pStyle w:val="TableContents"/>
              <w:bidi w:val="0"/>
              <w:spacing w:before="0" w:after="0"/>
              <w:jc w:val="right"/>
              <w:rPr>
                <w:b/>
              </w:rPr>
            </w:pPr>
            <w:r>
              <w:rPr>
                <w:b/>
              </w:rPr>
              <w:t>4,853</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9" w:type="dxa"/>
            <w:tcBorders/>
            <w:tcMar>
              <w:bottom w:w="0" w:type="dxa"/>
            </w:tcMar>
            <w:vAlign w:val="bottom"/>
          </w:tcPr>
          <w:p>
            <w:pPr>
              <w:pStyle w:val="TableContents"/>
              <w:bidi w:val="0"/>
              <w:spacing w:before="0" w:after="283"/>
              <w:jc w:val="left"/>
              <w:rPr/>
            </w:pPr>
            <w:r>
              <w:rPr/>
              <w:t> </w:t>
            </w:r>
          </w:p>
        </w:tc>
        <w:tc>
          <w:tcPr>
            <w:tcW w:w="1176" w:type="dxa"/>
            <w:tcBorders/>
            <w:tcMar>
              <w:bottom w:w="0" w:type="dxa"/>
            </w:tcMar>
            <w:vAlign w:val="bottom"/>
          </w:tcPr>
          <w:p>
            <w:pPr>
              <w:pStyle w:val="TableContents"/>
              <w:bidi w:val="0"/>
              <w:spacing w:before="0" w:after="0"/>
              <w:jc w:val="right"/>
              <w:rPr>
                <w:b/>
              </w:rPr>
            </w:pPr>
            <w:r>
              <w:rPr>
                <w:b/>
              </w:rPr>
              <w:t>-</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1" w:type="dxa"/>
            <w:tcBorders/>
            <w:tcMar>
              <w:bottom w:w="0" w:type="dxa"/>
            </w:tcMar>
            <w:vAlign w:val="bottom"/>
          </w:tcPr>
          <w:p>
            <w:pPr>
              <w:pStyle w:val="TableContents"/>
              <w:bidi w:val="0"/>
              <w:spacing w:before="0" w:after="283"/>
              <w:jc w:val="left"/>
              <w:rPr/>
            </w:pPr>
            <w:r>
              <w:rPr/>
              <w:t> </w:t>
            </w:r>
          </w:p>
        </w:tc>
        <w:tc>
          <w:tcPr>
            <w:tcW w:w="2014" w:type="dxa"/>
            <w:tcBorders/>
            <w:tcMar>
              <w:bottom w:w="0" w:type="dxa"/>
            </w:tcMar>
            <w:vAlign w:val="bottom"/>
          </w:tcPr>
          <w:p>
            <w:pPr>
              <w:pStyle w:val="TableContents"/>
              <w:bidi w:val="0"/>
              <w:spacing w:before="0" w:after="0"/>
              <w:jc w:val="right"/>
              <w:rPr>
                <w:b/>
              </w:rPr>
            </w:pPr>
            <w:r>
              <w:rPr>
                <w:b/>
              </w:rPr>
              <w:t>4,853</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1" w:type="dxa"/>
            <w:tcBorders/>
            <w:tcMar>
              <w:bottom w:w="0" w:type="dxa"/>
            </w:tcMar>
            <w:vAlign w:val="bottom"/>
          </w:tcPr>
          <w:p>
            <w:pPr>
              <w:pStyle w:val="TableContents"/>
              <w:bidi w:val="0"/>
              <w:spacing w:before="0" w:after="283"/>
              <w:jc w:val="left"/>
              <w:rPr/>
            </w:pPr>
            <w:r>
              <w:rPr/>
              <w:t> </w:t>
            </w:r>
          </w:p>
        </w:tc>
        <w:tc>
          <w:tcPr>
            <w:tcW w:w="2279"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75"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0" w:type="dxa"/>
            <w:tcBorders/>
            <w:tcMar>
              <w:bottom w:w="0" w:type="dxa"/>
            </w:tcMar>
            <w:vAlign w:val="bottom"/>
          </w:tcPr>
          <w:p>
            <w:pPr>
              <w:pStyle w:val="TableContents"/>
              <w:bidi w:val="0"/>
              <w:spacing w:before="0" w:after="283"/>
              <w:jc w:val="left"/>
              <w:rPr/>
            </w:pPr>
            <w:r>
              <w:rPr/>
              <w:t> </w:t>
            </w:r>
          </w:p>
        </w:tc>
        <w:tc>
          <w:tcPr>
            <w:tcW w:w="1220" w:type="dxa"/>
            <w:tcBorders/>
            <w:tcMar>
              <w:bottom w:w="0" w:type="dxa"/>
            </w:tcMar>
            <w:vAlign w:val="bottom"/>
          </w:tcPr>
          <w:p>
            <w:pPr>
              <w:pStyle w:val="TableContents"/>
              <w:bidi w:val="0"/>
              <w:spacing w:before="0" w:after="0"/>
              <w:jc w:val="right"/>
              <w:rPr>
                <w:b/>
              </w:rPr>
            </w:pPr>
            <w:r>
              <w:rPr>
                <w:b/>
              </w:rPr>
              <w:t>4,853</w:t>
            </w:r>
          </w:p>
        </w:tc>
        <w:tc>
          <w:tcPr>
            <w:tcW w:w="95" w:type="dxa"/>
            <w:tcBorders/>
            <w:tcMar>
              <w:bottom w:w="0" w:type="dxa"/>
            </w:tcMar>
            <w:vAlign w:val="bottom"/>
          </w:tcPr>
          <w:p>
            <w:pPr>
              <w:pStyle w:val="TableContents"/>
              <w:bidi w:val="0"/>
              <w:spacing w:before="0" w:after="283"/>
              <w:jc w:val="left"/>
              <w:rPr/>
            </w:pPr>
            <w:r>
              <w:rPr/>
              <w:t> </w:t>
            </w:r>
          </w:p>
        </w:tc>
      </w:tr>
      <w:tr>
        <w:trPr/>
        <w:tc>
          <w:tcPr>
            <w:tcW w:w="7370" w:type="dxa"/>
            <w:tcBorders>
              <w:bottom w:val="single" w:sz="12" w:space="0" w:color="000000"/>
            </w:tcBorders>
            <w:shd w:fill="CCEEFF" w:val="clear"/>
            <w:vAlign w:val="bottom"/>
          </w:tcPr>
          <w:p>
            <w:pPr>
              <w:pStyle w:val="TableContents"/>
              <w:bidi w:val="0"/>
              <w:spacing w:before="0" w:after="0"/>
              <w:jc w:val="left"/>
              <w:rPr/>
            </w:pPr>
            <w:r>
              <w:rPr/>
              <w:t>Accretion of redeemable convertible preferred stock</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50" w:type="dxa"/>
            <w:tcBorders>
              <w:bottom w:val="single" w:sz="12" w:space="0" w:color="000000"/>
            </w:tcBorders>
            <w:shd w:fill="CCEEFF" w:val="clear"/>
            <w:vAlign w:val="bottom"/>
          </w:tcPr>
          <w:p>
            <w:pPr>
              <w:pStyle w:val="TableContents"/>
              <w:bidi w:val="0"/>
              <w:spacing w:before="0" w:after="283"/>
              <w:jc w:val="left"/>
              <w:rPr/>
            </w:pPr>
            <w:r>
              <w:rPr/>
              <w:t> </w:t>
            </w:r>
          </w:p>
        </w:tc>
        <w:tc>
          <w:tcPr>
            <w:tcW w:w="2185" w:type="dxa"/>
            <w:tcBorders>
              <w:bottom w:val="single" w:sz="12" w:space="0" w:color="000000"/>
            </w:tcBorders>
            <w:shd w:fill="CCEEFF" w:val="clear"/>
            <w:vAlign w:val="bottom"/>
          </w:tcPr>
          <w:p>
            <w:pPr>
              <w:pStyle w:val="TableContents"/>
              <w:bidi w:val="0"/>
              <w:spacing w:before="0" w:after="0"/>
              <w:jc w:val="right"/>
              <w:rPr/>
            </w:pPr>
            <w:r>
              <w:rPr/>
              <w:t>-</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49" w:type="dxa"/>
            <w:tcBorders>
              <w:bottom w:val="single" w:sz="12" w:space="0" w:color="000000"/>
            </w:tcBorders>
            <w:shd w:fill="CCEEFF" w:val="clear"/>
            <w:vAlign w:val="bottom"/>
          </w:tcPr>
          <w:p>
            <w:pPr>
              <w:pStyle w:val="TableContents"/>
              <w:bidi w:val="0"/>
              <w:spacing w:before="0" w:after="283"/>
              <w:jc w:val="left"/>
              <w:rPr/>
            </w:pPr>
            <w:r>
              <w:rPr/>
              <w:t> </w:t>
            </w:r>
          </w:p>
        </w:tc>
        <w:tc>
          <w:tcPr>
            <w:tcW w:w="1176" w:type="dxa"/>
            <w:tcBorders>
              <w:bottom w:val="single" w:sz="12" w:space="0" w:color="000000"/>
            </w:tcBorders>
            <w:shd w:fill="CCEEFF" w:val="clear"/>
            <w:vAlign w:val="bottom"/>
          </w:tcPr>
          <w:p>
            <w:pPr>
              <w:pStyle w:val="TableContents"/>
              <w:bidi w:val="0"/>
              <w:spacing w:before="0" w:after="0"/>
              <w:jc w:val="right"/>
              <w:rPr/>
            </w:pPr>
            <w:r>
              <w:rPr/>
              <w:t>(14,801</w:t>
            </w:r>
          </w:p>
        </w:tc>
        <w:tc>
          <w:tcPr>
            <w:tcW w:w="95" w:type="dxa"/>
            <w:tcBorders>
              <w:bottom w:val="single" w:sz="12" w:space="0" w:color="000000"/>
            </w:tcBorders>
            <w:shd w:fill="CCEEFF" w:val="clear"/>
            <w:vAlign w:val="bottom"/>
          </w:tcPr>
          <w:p>
            <w:pPr>
              <w:pStyle w:val="TableContents"/>
              <w:bidi w:val="0"/>
              <w:spacing w:before="0" w:after="0"/>
              <w:jc w:val="left"/>
              <w:rPr/>
            </w:pPr>
            <w:r>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vAlign w:val="bottom"/>
          </w:tcPr>
          <w:p>
            <w:pPr>
              <w:pStyle w:val="TableContents"/>
              <w:bidi w:val="0"/>
              <w:spacing w:before="0" w:after="283"/>
              <w:jc w:val="left"/>
              <w:rPr/>
            </w:pPr>
            <w:r>
              <w:rPr/>
              <w:t> </w:t>
            </w:r>
          </w:p>
        </w:tc>
        <w:tc>
          <w:tcPr>
            <w:tcW w:w="2014" w:type="dxa"/>
            <w:tcBorders>
              <w:bottom w:val="single" w:sz="12" w:space="0" w:color="000000"/>
            </w:tcBorders>
            <w:shd w:fill="CCEEFF" w:val="clear"/>
            <w:vAlign w:val="bottom"/>
          </w:tcPr>
          <w:p>
            <w:pPr>
              <w:pStyle w:val="TableContents"/>
              <w:bidi w:val="0"/>
              <w:spacing w:before="0" w:after="0"/>
              <w:jc w:val="right"/>
              <w:rPr/>
            </w:pPr>
            <w:r>
              <w:rPr/>
              <w:t>(14,801</w:t>
            </w:r>
          </w:p>
        </w:tc>
        <w:tc>
          <w:tcPr>
            <w:tcW w:w="95" w:type="dxa"/>
            <w:tcBorders>
              <w:bottom w:val="single" w:sz="12" w:space="0" w:color="000000"/>
            </w:tcBorders>
            <w:shd w:fill="CCEEFF" w:val="clear"/>
            <w:vAlign w:val="bottom"/>
          </w:tcPr>
          <w:p>
            <w:pPr>
              <w:pStyle w:val="TableContents"/>
              <w:bidi w:val="0"/>
              <w:spacing w:before="0" w:after="0"/>
              <w:jc w:val="left"/>
              <w:rPr/>
            </w:pPr>
            <w:r>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vAlign w:val="bottom"/>
          </w:tcPr>
          <w:p>
            <w:pPr>
              <w:pStyle w:val="TableContents"/>
              <w:bidi w:val="0"/>
              <w:spacing w:before="0" w:after="283"/>
              <w:jc w:val="left"/>
              <w:rPr/>
            </w:pPr>
            <w:r>
              <w:rPr/>
              <w:t> </w:t>
            </w:r>
          </w:p>
        </w:tc>
        <w:tc>
          <w:tcPr>
            <w:tcW w:w="2279" w:type="dxa"/>
            <w:tcBorders>
              <w:bottom w:val="single" w:sz="12" w:space="0" w:color="000000"/>
            </w:tcBorders>
            <w:shd w:fill="CCEEFF" w:val="clear"/>
            <w:vAlign w:val="bottom"/>
          </w:tcPr>
          <w:p>
            <w:pPr>
              <w:pStyle w:val="TableContents"/>
              <w:bidi w:val="0"/>
              <w:spacing w:before="0" w:after="0"/>
              <w:jc w:val="right"/>
              <w:rPr/>
            </w:pPr>
            <w:r>
              <w:rPr/>
              <w:t>14,801</w:t>
            </w:r>
          </w:p>
        </w:tc>
        <w:tc>
          <w:tcPr>
            <w:tcW w:w="15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815" w:type="dxa"/>
            <w:tcBorders>
              <w:bottom w:val="single" w:sz="12" w:space="0" w:color="000000"/>
            </w:tcBorders>
            <w:shd w:fill="CCEEFF" w:val="clear"/>
            <w:vAlign w:val="bottom"/>
          </w:tcPr>
          <w:p>
            <w:pPr>
              <w:pStyle w:val="TableContents"/>
              <w:bidi w:val="0"/>
              <w:spacing w:before="0" w:after="0"/>
              <w:jc w:val="center"/>
              <w:rPr/>
            </w:pPr>
            <w:r>
              <w:rPr/>
              <w:t>[F]</w:t>
            </w:r>
          </w:p>
        </w:tc>
        <w:tc>
          <w:tcPr>
            <w:tcW w:w="60" w:type="dxa"/>
            <w:tcBorders>
              <w:bottom w:val="single" w:sz="12" w:space="0" w:color="000000"/>
            </w:tcBorders>
            <w:shd w:fill="CCEEFF" w:val="clear"/>
            <w:vAlign w:val="bottom"/>
          </w:tcPr>
          <w:p>
            <w:pPr>
              <w:pStyle w:val="TableContents"/>
              <w:bidi w:val="0"/>
              <w:spacing w:before="0" w:after="0"/>
              <w:jc w:val="left"/>
              <w:rPr/>
            </w:pPr>
            <w:r>
              <w:rPr/>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vAlign w:val="bottom"/>
          </w:tcPr>
          <w:p>
            <w:pPr>
              <w:pStyle w:val="TableContents"/>
              <w:bidi w:val="0"/>
              <w:spacing w:before="0" w:after="283"/>
              <w:jc w:val="left"/>
              <w:rPr/>
            </w:pPr>
            <w:r>
              <w:rPr/>
              <w:t> </w:t>
            </w:r>
          </w:p>
        </w:tc>
        <w:tc>
          <w:tcPr>
            <w:tcW w:w="1220" w:type="dxa"/>
            <w:tcBorders>
              <w:bottom w:val="single" w:sz="12" w:space="0" w:color="000000"/>
            </w:tcBorders>
            <w:shd w:fill="CCEEFF" w:val="clear"/>
            <w:vAlign w:val="bottom"/>
          </w:tcPr>
          <w:p>
            <w:pPr>
              <w:pStyle w:val="TableContents"/>
              <w:bidi w:val="0"/>
              <w:spacing w:before="0" w:after="0"/>
              <w:jc w:val="right"/>
              <w:rPr/>
            </w:pPr>
            <w:r>
              <w:rPr/>
              <w:t>-</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7370" w:type="dxa"/>
            <w:tcBorders>
              <w:bottom w:val="single" w:sz="12" w:space="0" w:color="000000"/>
            </w:tcBorders>
            <w:vAlign w:val="bottom"/>
          </w:tcPr>
          <w:p>
            <w:pPr>
              <w:pStyle w:val="TableContents"/>
              <w:bidi w:val="0"/>
              <w:spacing w:before="0" w:after="0"/>
              <w:jc w:val="left"/>
              <w:rPr>
                <w:b/>
              </w:rPr>
            </w:pPr>
            <w:r>
              <w:rPr>
                <w:b/>
              </w:rPr>
              <w:t>Net income (loss) available to common stockholders</w:t>
            </w:r>
          </w:p>
        </w:tc>
        <w:tc>
          <w:tcPr>
            <w:tcW w:w="60" w:type="dxa"/>
            <w:tcBorders>
              <w:bottom w:val="single" w:sz="12" w:space="0" w:color="000000"/>
            </w:tcBorders>
            <w:vAlign w:val="bottom"/>
          </w:tcPr>
          <w:p>
            <w:pPr>
              <w:pStyle w:val="TableContents"/>
              <w:bidi w:val="0"/>
              <w:spacing w:before="0" w:after="283"/>
              <w:jc w:val="left"/>
              <w:rPr/>
            </w:pPr>
            <w:r>
              <w:rPr/>
              <w:t> </w:t>
            </w:r>
          </w:p>
        </w:tc>
        <w:tc>
          <w:tcPr>
            <w:tcW w:w="250" w:type="dxa"/>
            <w:tcBorders>
              <w:bottom w:val="single" w:sz="12" w:space="0" w:color="000000"/>
            </w:tcBorders>
            <w:vAlign w:val="bottom"/>
          </w:tcPr>
          <w:p>
            <w:pPr>
              <w:pStyle w:val="TableContents"/>
              <w:bidi w:val="0"/>
              <w:spacing w:before="0" w:after="283"/>
              <w:jc w:val="left"/>
              <w:rPr/>
            </w:pPr>
            <w:r>
              <w:rPr/>
              <w:t> </w:t>
            </w:r>
          </w:p>
        </w:tc>
        <w:tc>
          <w:tcPr>
            <w:tcW w:w="2185" w:type="dxa"/>
            <w:tcBorders>
              <w:bottom w:val="single" w:sz="12" w:space="0" w:color="000000"/>
            </w:tcBorders>
            <w:vAlign w:val="bottom"/>
          </w:tcPr>
          <w:p>
            <w:pPr>
              <w:pStyle w:val="TableContents"/>
              <w:bidi w:val="0"/>
              <w:spacing w:before="0" w:after="0"/>
              <w:jc w:val="right"/>
              <w:rPr>
                <w:b/>
              </w:rPr>
            </w:pPr>
            <w:r>
              <w:rPr>
                <w:b/>
              </w:rPr>
              <w:t>5,027</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49" w:type="dxa"/>
            <w:tcBorders>
              <w:bottom w:val="single" w:sz="12" w:space="0" w:color="000000"/>
            </w:tcBorders>
            <w:vAlign w:val="bottom"/>
          </w:tcPr>
          <w:p>
            <w:pPr>
              <w:pStyle w:val="TableContents"/>
              <w:bidi w:val="0"/>
              <w:spacing w:before="0" w:after="283"/>
              <w:jc w:val="left"/>
              <w:rPr/>
            </w:pPr>
            <w:r>
              <w:rPr/>
              <w:t> </w:t>
            </w:r>
          </w:p>
        </w:tc>
        <w:tc>
          <w:tcPr>
            <w:tcW w:w="1176" w:type="dxa"/>
            <w:tcBorders>
              <w:bottom w:val="single" w:sz="12" w:space="0" w:color="000000"/>
            </w:tcBorders>
            <w:vAlign w:val="bottom"/>
          </w:tcPr>
          <w:p>
            <w:pPr>
              <w:pStyle w:val="TableContents"/>
              <w:bidi w:val="0"/>
              <w:spacing w:before="0" w:after="0"/>
              <w:jc w:val="right"/>
              <w:rPr>
                <w:b/>
              </w:rPr>
            </w:pPr>
            <w:r>
              <w:rPr>
                <w:b/>
              </w:rPr>
              <w:t>(25,606</w:t>
            </w:r>
          </w:p>
        </w:tc>
        <w:tc>
          <w:tcPr>
            <w:tcW w:w="95" w:type="dxa"/>
            <w:tcBorders>
              <w:bottom w:val="single" w:sz="12" w:space="0" w:color="000000"/>
            </w:tcBorders>
            <w:vAlign w:val="bottom"/>
          </w:tcPr>
          <w:p>
            <w:pPr>
              <w:pStyle w:val="TableContents"/>
              <w:bidi w:val="0"/>
              <w:spacing w:before="0" w:after="0"/>
              <w:jc w:val="left"/>
              <w:rPr>
                <w:b/>
              </w:rPr>
            </w:pPr>
            <w:r>
              <w:rPr>
                <w:b/>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151" w:type="dxa"/>
            <w:tcBorders>
              <w:bottom w:val="single" w:sz="12" w:space="0" w:color="000000"/>
            </w:tcBorders>
            <w:vAlign w:val="bottom"/>
          </w:tcPr>
          <w:p>
            <w:pPr>
              <w:pStyle w:val="TableContents"/>
              <w:bidi w:val="0"/>
              <w:spacing w:before="0" w:after="283"/>
              <w:jc w:val="left"/>
              <w:rPr/>
            </w:pPr>
            <w:r>
              <w:rPr/>
              <w:t> </w:t>
            </w:r>
          </w:p>
        </w:tc>
        <w:tc>
          <w:tcPr>
            <w:tcW w:w="2014" w:type="dxa"/>
            <w:tcBorders>
              <w:bottom w:val="single" w:sz="12" w:space="0" w:color="000000"/>
            </w:tcBorders>
            <w:vAlign w:val="bottom"/>
          </w:tcPr>
          <w:p>
            <w:pPr>
              <w:pStyle w:val="TableContents"/>
              <w:bidi w:val="0"/>
              <w:spacing w:before="0" w:after="0"/>
              <w:jc w:val="right"/>
              <w:rPr>
                <w:b/>
              </w:rPr>
            </w:pPr>
            <w:r>
              <w:rPr>
                <w:b/>
              </w:rPr>
              <w:t>(20,579</w:t>
            </w:r>
          </w:p>
        </w:tc>
        <w:tc>
          <w:tcPr>
            <w:tcW w:w="95" w:type="dxa"/>
            <w:tcBorders>
              <w:bottom w:val="single" w:sz="12" w:space="0" w:color="000000"/>
            </w:tcBorders>
            <w:vAlign w:val="bottom"/>
          </w:tcPr>
          <w:p>
            <w:pPr>
              <w:pStyle w:val="TableContents"/>
              <w:bidi w:val="0"/>
              <w:spacing w:before="0" w:after="0"/>
              <w:jc w:val="left"/>
              <w:rPr>
                <w:b/>
              </w:rPr>
            </w:pPr>
            <w:r>
              <w:rPr>
                <w:b/>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201" w:type="dxa"/>
            <w:tcBorders>
              <w:bottom w:val="single" w:sz="12" w:space="0" w:color="000000"/>
            </w:tcBorders>
            <w:vAlign w:val="bottom"/>
          </w:tcPr>
          <w:p>
            <w:pPr>
              <w:pStyle w:val="TableContents"/>
              <w:bidi w:val="0"/>
              <w:spacing w:before="0" w:after="283"/>
              <w:jc w:val="left"/>
              <w:rPr/>
            </w:pPr>
            <w:r>
              <w:rPr/>
              <w:t> </w:t>
            </w:r>
          </w:p>
        </w:tc>
        <w:tc>
          <w:tcPr>
            <w:tcW w:w="2279" w:type="dxa"/>
            <w:tcBorders>
              <w:bottom w:val="single" w:sz="12" w:space="0" w:color="000000"/>
            </w:tcBorders>
            <w:vAlign w:val="bottom"/>
          </w:tcPr>
          <w:p>
            <w:pPr>
              <w:pStyle w:val="TableContents"/>
              <w:bidi w:val="0"/>
              <w:spacing w:before="0" w:after="0"/>
              <w:jc w:val="right"/>
              <w:rPr>
                <w:b/>
              </w:rPr>
            </w:pPr>
            <w:r>
              <w:rPr>
                <w:b/>
              </w:rPr>
              <w:t>14,499</w:t>
            </w:r>
          </w:p>
        </w:tc>
        <w:tc>
          <w:tcPr>
            <w:tcW w:w="15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815" w:type="dxa"/>
            <w:tcBorders>
              <w:bottom w:val="single" w:sz="12" w:space="0" w:color="000000"/>
            </w:tcBorders>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1220" w:type="dxa"/>
            <w:tcBorders>
              <w:bottom w:val="single" w:sz="12" w:space="0" w:color="000000"/>
            </w:tcBorders>
            <w:vAlign w:val="bottom"/>
          </w:tcPr>
          <w:p>
            <w:pPr>
              <w:pStyle w:val="TableContents"/>
              <w:bidi w:val="0"/>
              <w:spacing w:before="0" w:after="0"/>
              <w:jc w:val="right"/>
              <w:rPr>
                <w:b/>
              </w:rPr>
            </w:pPr>
            <w:r>
              <w:rPr>
                <w:b/>
              </w:rPr>
              <w:t>(6,080</w:t>
            </w:r>
          </w:p>
        </w:tc>
        <w:tc>
          <w:tcPr>
            <w:tcW w:w="95" w:type="dxa"/>
            <w:tcBorders/>
            <w:tcMar>
              <w:bottom w:w="0" w:type="dxa"/>
            </w:tcMar>
            <w:vAlign w:val="bottom"/>
          </w:tcPr>
          <w:p>
            <w:pPr>
              <w:pStyle w:val="TableContents"/>
              <w:bidi w:val="0"/>
              <w:spacing w:before="0" w:after="0"/>
              <w:jc w:val="left"/>
              <w:rPr>
                <w:b/>
              </w:rPr>
            </w:pPr>
            <w:r>
              <w:rPr>
                <w:b/>
              </w:rPr>
              <w:t>)</w:t>
            </w:r>
          </w:p>
        </w:tc>
      </w:tr>
      <w:tr>
        <w:trPr/>
        <w:tc>
          <w:tcPr>
            <w:tcW w:w="7370" w:type="dxa"/>
            <w:tcBorders/>
            <w:shd w:fill="CCEEFF" w:val="clear"/>
            <w:tcMar>
              <w:bottom w:w="0" w:type="dxa"/>
            </w:tcMar>
            <w:vAlign w:val="bottom"/>
          </w:tcPr>
          <w:p>
            <w:pPr>
              <w:pStyle w:val="TableContents"/>
              <w:bidi w:val="0"/>
              <w:spacing w:before="0" w:after="0"/>
              <w:jc w:val="left"/>
              <w:rPr>
                <w:b/>
              </w:rPr>
            </w:pPr>
            <w:r>
              <w:rPr>
                <w:b/>
              </w:rPr>
              <w:t>Net income (loss) per share attributable to common stockholders: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50" w:type="dxa"/>
            <w:tcBorders/>
            <w:shd w:fill="CCEEFF" w:val="clear"/>
            <w:tcMar>
              <w:bottom w:w="0" w:type="dxa"/>
            </w:tcMar>
            <w:vAlign w:val="bottom"/>
          </w:tcPr>
          <w:p>
            <w:pPr>
              <w:pStyle w:val="TableContents"/>
              <w:bidi w:val="0"/>
              <w:spacing w:before="0" w:after="283"/>
              <w:jc w:val="left"/>
              <w:rPr/>
            </w:pPr>
            <w:r>
              <w:rPr/>
              <w:t> </w:t>
            </w:r>
          </w:p>
        </w:tc>
        <w:tc>
          <w:tcPr>
            <w:tcW w:w="2185"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9" w:type="dxa"/>
            <w:tcBorders/>
            <w:shd w:fill="CCEEFF" w:val="clear"/>
            <w:tcMar>
              <w:bottom w:w="0" w:type="dxa"/>
            </w:tcMar>
            <w:vAlign w:val="bottom"/>
          </w:tcPr>
          <w:p>
            <w:pPr>
              <w:pStyle w:val="TableContents"/>
              <w:bidi w:val="0"/>
              <w:spacing w:before="0" w:after="283"/>
              <w:jc w:val="left"/>
              <w:rPr/>
            </w:pPr>
            <w:r>
              <w:rPr/>
              <w:t> </w:t>
            </w:r>
          </w:p>
        </w:tc>
        <w:tc>
          <w:tcPr>
            <w:tcW w:w="1176"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2014"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2279" w:type="dxa"/>
            <w:tcBorders/>
            <w:shd w:fill="CCEEFF" w:val="clear"/>
            <w:tcMar>
              <w:bottom w:w="0" w:type="dxa"/>
            </w:tcMar>
            <w:vAlign w:val="bottom"/>
          </w:tcPr>
          <w:p>
            <w:pPr>
              <w:pStyle w:val="TableContents"/>
              <w:bidi w:val="0"/>
              <w:spacing w:before="0" w:after="283"/>
              <w:jc w:val="righ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15"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1220"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7370" w:type="dxa"/>
            <w:tcBorders/>
            <w:tcMar>
              <w:bottom w:w="0" w:type="dxa"/>
            </w:tcMar>
            <w:vAlign w:val="bottom"/>
          </w:tcPr>
          <w:p>
            <w:pPr>
              <w:pStyle w:val="TableContents"/>
              <w:bidi w:val="0"/>
              <w:spacing w:before="0" w:after="0"/>
              <w:jc w:val="left"/>
              <w:rPr/>
            </w:pPr>
            <w:r>
              <w:rPr/>
              <w:t>Basic</w:t>
            </w:r>
          </w:p>
        </w:tc>
        <w:tc>
          <w:tcPr>
            <w:tcW w:w="60" w:type="dxa"/>
            <w:tcBorders/>
            <w:tcMar>
              <w:bottom w:w="0" w:type="dxa"/>
            </w:tcMar>
            <w:vAlign w:val="bottom"/>
          </w:tcPr>
          <w:p>
            <w:pPr>
              <w:pStyle w:val="TableContents"/>
              <w:bidi w:val="0"/>
              <w:spacing w:before="0" w:after="283"/>
              <w:jc w:val="left"/>
              <w:rPr/>
            </w:pPr>
            <w:r>
              <w:rPr/>
              <w:t> </w:t>
            </w:r>
          </w:p>
        </w:tc>
        <w:tc>
          <w:tcPr>
            <w:tcW w:w="250" w:type="dxa"/>
            <w:tcBorders/>
            <w:tcMar>
              <w:bottom w:w="0" w:type="dxa"/>
            </w:tcMar>
            <w:vAlign w:val="bottom"/>
          </w:tcPr>
          <w:p>
            <w:pPr>
              <w:pStyle w:val="TableContents"/>
              <w:bidi w:val="0"/>
              <w:spacing w:before="0" w:after="0"/>
              <w:jc w:val="left"/>
              <w:rPr/>
            </w:pPr>
            <w:r>
              <w:rPr/>
              <w:t>$</w:t>
            </w:r>
          </w:p>
        </w:tc>
        <w:tc>
          <w:tcPr>
            <w:tcW w:w="2185" w:type="dxa"/>
            <w:tcBorders/>
            <w:tcMar>
              <w:bottom w:w="0" w:type="dxa"/>
            </w:tcMar>
            <w:vAlign w:val="bottom"/>
          </w:tcPr>
          <w:p>
            <w:pPr>
              <w:pStyle w:val="TableContents"/>
              <w:bidi w:val="0"/>
              <w:spacing w:before="0" w:after="0"/>
              <w:jc w:val="right"/>
              <w:rPr/>
            </w:pPr>
            <w:r>
              <w:rPr/>
              <w:t>0.06</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9" w:type="dxa"/>
            <w:tcBorders/>
            <w:tcMar>
              <w:bottom w:w="0" w:type="dxa"/>
            </w:tcMar>
            <w:vAlign w:val="bottom"/>
          </w:tcPr>
          <w:p>
            <w:pPr>
              <w:pStyle w:val="TableContents"/>
              <w:bidi w:val="0"/>
              <w:spacing w:before="0" w:after="0"/>
              <w:jc w:val="left"/>
              <w:rPr/>
            </w:pPr>
            <w:r>
              <w:rPr/>
              <w:t>$</w:t>
            </w:r>
          </w:p>
        </w:tc>
        <w:tc>
          <w:tcPr>
            <w:tcW w:w="1176" w:type="dxa"/>
            <w:tcBorders/>
            <w:tcMar>
              <w:bottom w:w="0" w:type="dxa"/>
            </w:tcMar>
            <w:vAlign w:val="bottom"/>
          </w:tcPr>
          <w:p>
            <w:pPr>
              <w:pStyle w:val="TableContents"/>
              <w:bidi w:val="0"/>
              <w:spacing w:before="0" w:after="0"/>
              <w:jc w:val="right"/>
              <w:rPr/>
            </w:pPr>
            <w:r>
              <w:rPr/>
              <w:t>(2.55</w:t>
            </w:r>
          </w:p>
        </w:tc>
        <w:tc>
          <w:tcPr>
            <w:tcW w:w="95" w:type="dxa"/>
            <w:tcBorders/>
            <w:tcMar>
              <w:bottom w:w="0" w:type="dxa"/>
            </w:tcMar>
            <w:vAlign w:val="bottom"/>
          </w:tcPr>
          <w:p>
            <w:pPr>
              <w:pStyle w:val="TableContents"/>
              <w:bidi w:val="0"/>
              <w:spacing w:before="0" w:after="0"/>
              <w:jc w:val="left"/>
              <w:rPr/>
            </w:pPr>
            <w:r>
              <w:rPr/>
              <w:t>)</w:t>
            </w:r>
          </w:p>
        </w:tc>
        <w:tc>
          <w:tcPr>
            <w:tcW w:w="60" w:type="dxa"/>
            <w:tcBorders/>
            <w:tcMar>
              <w:bottom w:w="0" w:type="dxa"/>
            </w:tcMar>
            <w:vAlign w:val="bottom"/>
          </w:tcPr>
          <w:p>
            <w:pPr>
              <w:pStyle w:val="TableContents"/>
              <w:bidi w:val="0"/>
              <w:spacing w:before="0" w:after="283"/>
              <w:jc w:val="left"/>
              <w:rPr/>
            </w:pPr>
            <w:r>
              <w:rPr/>
              <w:t> </w:t>
            </w:r>
          </w:p>
        </w:tc>
        <w:tc>
          <w:tcPr>
            <w:tcW w:w="151" w:type="dxa"/>
            <w:tcBorders/>
            <w:tcMar>
              <w:bottom w:w="0" w:type="dxa"/>
            </w:tcMar>
            <w:vAlign w:val="bottom"/>
          </w:tcPr>
          <w:p>
            <w:pPr>
              <w:pStyle w:val="TableContents"/>
              <w:bidi w:val="0"/>
              <w:spacing w:before="0" w:after="283"/>
              <w:jc w:val="left"/>
              <w:rPr/>
            </w:pPr>
            <w:r>
              <w:rPr/>
              <w:t> </w:t>
            </w:r>
          </w:p>
        </w:tc>
        <w:tc>
          <w:tcPr>
            <w:tcW w:w="2014"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1" w:type="dxa"/>
            <w:tcBorders/>
            <w:tcMar>
              <w:bottom w:w="0" w:type="dxa"/>
            </w:tcMar>
            <w:vAlign w:val="bottom"/>
          </w:tcPr>
          <w:p>
            <w:pPr>
              <w:pStyle w:val="TableContents"/>
              <w:bidi w:val="0"/>
              <w:spacing w:before="0" w:after="283"/>
              <w:jc w:val="left"/>
              <w:rPr/>
            </w:pPr>
            <w:r>
              <w:rPr/>
              <w:t> </w:t>
            </w:r>
          </w:p>
        </w:tc>
        <w:tc>
          <w:tcPr>
            <w:tcW w:w="2279"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15" w:type="dxa"/>
            <w:tcBorders/>
            <w:tcMar>
              <w:bottom w:w="0" w:type="dxa"/>
            </w:tcMar>
            <w:vAlign w:val="bottom"/>
          </w:tcPr>
          <w:p>
            <w:pPr>
              <w:pStyle w:val="TableContents"/>
              <w:bidi w:val="0"/>
              <w:spacing w:before="0" w:after="0"/>
              <w:jc w:val="center"/>
              <w:rPr/>
            </w:pPr>
            <w:r>
              <w:rPr/>
              <w:t>[Note 3]</w:t>
            </w:r>
          </w:p>
        </w:tc>
        <w:tc>
          <w:tcPr>
            <w:tcW w:w="60" w:type="dxa"/>
            <w:tcBorders/>
            <w:tcMar>
              <w:bottom w:w="0" w:type="dxa"/>
            </w:tcMar>
            <w:vAlign w:val="bottom"/>
          </w:tcPr>
          <w:p>
            <w:pPr>
              <w:pStyle w:val="TableContents"/>
              <w:bidi w:val="0"/>
              <w:spacing w:before="0" w:after="0"/>
              <w:jc w:val="left"/>
              <w:rPr/>
            </w:pPr>
            <w:r>
              <w:rPr/>
            </w:r>
          </w:p>
        </w:tc>
        <w:tc>
          <w:tcPr>
            <w:tcW w:w="60" w:type="dxa"/>
            <w:tcBorders/>
            <w:tcMar>
              <w:bottom w:w="0" w:type="dxa"/>
            </w:tcMar>
            <w:vAlign w:val="bottom"/>
          </w:tcPr>
          <w:p>
            <w:pPr>
              <w:pStyle w:val="TableContents"/>
              <w:bidi w:val="0"/>
              <w:spacing w:before="0" w:after="283"/>
              <w:jc w:val="left"/>
              <w:rPr/>
            </w:pPr>
            <w:r>
              <w:rPr/>
              <w:t> </w:t>
            </w:r>
          </w:p>
        </w:tc>
        <w:tc>
          <w:tcPr>
            <w:tcW w:w="140" w:type="dxa"/>
            <w:tcBorders/>
            <w:tcMar>
              <w:bottom w:w="0" w:type="dxa"/>
            </w:tcMar>
            <w:vAlign w:val="bottom"/>
          </w:tcPr>
          <w:p>
            <w:pPr>
              <w:pStyle w:val="TableContents"/>
              <w:bidi w:val="0"/>
              <w:spacing w:before="0" w:after="0"/>
              <w:jc w:val="left"/>
              <w:rPr/>
            </w:pPr>
            <w:r>
              <w:rPr/>
              <w:t>$</w:t>
            </w:r>
          </w:p>
        </w:tc>
        <w:tc>
          <w:tcPr>
            <w:tcW w:w="1220" w:type="dxa"/>
            <w:tcBorders/>
            <w:tcMar>
              <w:bottom w:w="0" w:type="dxa"/>
            </w:tcMar>
            <w:vAlign w:val="bottom"/>
          </w:tcPr>
          <w:p>
            <w:pPr>
              <w:pStyle w:val="TableContents"/>
              <w:bidi w:val="0"/>
              <w:spacing w:before="0" w:after="0"/>
              <w:jc w:val="right"/>
              <w:rPr/>
            </w:pPr>
            <w:r>
              <w:rPr/>
              <w:t>(0.06</w:t>
            </w:r>
          </w:p>
        </w:tc>
        <w:tc>
          <w:tcPr>
            <w:tcW w:w="95" w:type="dxa"/>
            <w:tcBorders/>
            <w:tcMar>
              <w:bottom w:w="0" w:type="dxa"/>
            </w:tcMar>
            <w:vAlign w:val="bottom"/>
          </w:tcPr>
          <w:p>
            <w:pPr>
              <w:pStyle w:val="TableContents"/>
              <w:bidi w:val="0"/>
              <w:spacing w:before="0" w:after="0"/>
              <w:jc w:val="left"/>
              <w:rPr/>
            </w:pPr>
            <w:r>
              <w:rPr/>
              <w:t>)</w:t>
            </w:r>
          </w:p>
        </w:tc>
      </w:tr>
      <w:tr>
        <w:trPr/>
        <w:tc>
          <w:tcPr>
            <w:tcW w:w="7370" w:type="dxa"/>
            <w:tcBorders>
              <w:bottom w:val="single" w:sz="12" w:space="0" w:color="000000"/>
            </w:tcBorders>
            <w:shd w:fill="CCEEFF" w:val="clear"/>
            <w:vAlign w:val="bottom"/>
          </w:tcPr>
          <w:p>
            <w:pPr>
              <w:pStyle w:val="TableContents"/>
              <w:bidi w:val="0"/>
              <w:spacing w:before="0" w:after="0"/>
              <w:jc w:val="left"/>
              <w:rPr/>
            </w:pPr>
            <w:r>
              <w:rPr/>
              <w:t>Diluted</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50" w:type="dxa"/>
            <w:tcBorders>
              <w:bottom w:val="single" w:sz="12" w:space="0" w:color="000000"/>
            </w:tcBorders>
            <w:shd w:fill="CCEEFF" w:val="clear"/>
            <w:vAlign w:val="bottom"/>
          </w:tcPr>
          <w:p>
            <w:pPr>
              <w:pStyle w:val="TableContents"/>
              <w:bidi w:val="0"/>
              <w:spacing w:before="0" w:after="0"/>
              <w:jc w:val="left"/>
              <w:rPr/>
            </w:pPr>
            <w:r>
              <w:rPr/>
              <w:t>$</w:t>
            </w:r>
          </w:p>
        </w:tc>
        <w:tc>
          <w:tcPr>
            <w:tcW w:w="2185" w:type="dxa"/>
            <w:tcBorders>
              <w:bottom w:val="single" w:sz="12" w:space="0" w:color="000000"/>
            </w:tcBorders>
            <w:shd w:fill="CCEEFF" w:val="clear"/>
            <w:vAlign w:val="bottom"/>
          </w:tcPr>
          <w:p>
            <w:pPr>
              <w:pStyle w:val="TableContents"/>
              <w:bidi w:val="0"/>
              <w:spacing w:before="0" w:after="0"/>
              <w:jc w:val="right"/>
              <w:rPr/>
            </w:pPr>
            <w:r>
              <w:rPr/>
              <w:t>0.02</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49" w:type="dxa"/>
            <w:tcBorders>
              <w:bottom w:val="single" w:sz="12" w:space="0" w:color="000000"/>
            </w:tcBorders>
            <w:shd w:fill="CCEEFF" w:val="clear"/>
            <w:vAlign w:val="bottom"/>
          </w:tcPr>
          <w:p>
            <w:pPr>
              <w:pStyle w:val="TableContents"/>
              <w:bidi w:val="0"/>
              <w:spacing w:before="0" w:after="0"/>
              <w:jc w:val="left"/>
              <w:rPr/>
            </w:pPr>
            <w:r>
              <w:rPr/>
              <w:t>$</w:t>
            </w:r>
          </w:p>
        </w:tc>
        <w:tc>
          <w:tcPr>
            <w:tcW w:w="1176" w:type="dxa"/>
            <w:tcBorders>
              <w:bottom w:val="single" w:sz="12" w:space="0" w:color="000000"/>
            </w:tcBorders>
            <w:shd w:fill="CCEEFF" w:val="clear"/>
            <w:vAlign w:val="bottom"/>
          </w:tcPr>
          <w:p>
            <w:pPr>
              <w:pStyle w:val="TableContents"/>
              <w:bidi w:val="0"/>
              <w:spacing w:before="0" w:after="0"/>
              <w:jc w:val="right"/>
              <w:rPr/>
            </w:pPr>
            <w:r>
              <w:rPr/>
              <w:t>(2.55</w:t>
            </w:r>
          </w:p>
        </w:tc>
        <w:tc>
          <w:tcPr>
            <w:tcW w:w="95" w:type="dxa"/>
            <w:tcBorders>
              <w:bottom w:val="single" w:sz="12" w:space="0" w:color="000000"/>
            </w:tcBorders>
            <w:shd w:fill="CCEEFF" w:val="clear"/>
            <w:vAlign w:val="bottom"/>
          </w:tcPr>
          <w:p>
            <w:pPr>
              <w:pStyle w:val="TableContents"/>
              <w:bidi w:val="0"/>
              <w:spacing w:before="0" w:after="0"/>
              <w:jc w:val="left"/>
              <w:rPr/>
            </w:pPr>
            <w:r>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vAlign w:val="bottom"/>
          </w:tcPr>
          <w:p>
            <w:pPr>
              <w:pStyle w:val="TableContents"/>
              <w:bidi w:val="0"/>
              <w:spacing w:before="0" w:after="283"/>
              <w:jc w:val="left"/>
              <w:rPr/>
            </w:pPr>
            <w:r>
              <w:rPr/>
              <w:t> </w:t>
            </w:r>
          </w:p>
        </w:tc>
        <w:tc>
          <w:tcPr>
            <w:tcW w:w="2014" w:type="dxa"/>
            <w:tcBorders>
              <w:bottom w:val="single" w:sz="12" w:space="0" w:color="000000"/>
            </w:tcBorders>
            <w:shd w:fill="CCEEFF" w:val="clear"/>
            <w:vAlign w:val="bottom"/>
          </w:tcPr>
          <w:p>
            <w:pPr>
              <w:pStyle w:val="TableContents"/>
              <w:bidi w:val="0"/>
              <w:spacing w:before="0" w:after="283"/>
              <w:jc w:val="right"/>
              <w:rPr/>
            </w:pPr>
            <w:r>
              <w:rPr/>
              <w:t> </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vAlign w:val="bottom"/>
          </w:tcPr>
          <w:p>
            <w:pPr>
              <w:pStyle w:val="TableContents"/>
              <w:bidi w:val="0"/>
              <w:spacing w:before="0" w:after="283"/>
              <w:jc w:val="left"/>
              <w:rPr/>
            </w:pPr>
            <w:r>
              <w:rPr/>
              <w:t> </w:t>
            </w:r>
          </w:p>
        </w:tc>
        <w:tc>
          <w:tcPr>
            <w:tcW w:w="2279" w:type="dxa"/>
            <w:tcBorders>
              <w:bottom w:val="single" w:sz="12" w:space="0" w:color="000000"/>
            </w:tcBorders>
            <w:shd w:fill="CCEEFF" w:val="clear"/>
            <w:vAlign w:val="bottom"/>
          </w:tcPr>
          <w:p>
            <w:pPr>
              <w:pStyle w:val="TableContents"/>
              <w:bidi w:val="0"/>
              <w:spacing w:before="0" w:after="283"/>
              <w:jc w:val="right"/>
              <w:rPr/>
            </w:pPr>
            <w:r>
              <w:rPr/>
              <w:t> </w:t>
            </w:r>
          </w:p>
        </w:tc>
        <w:tc>
          <w:tcPr>
            <w:tcW w:w="15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815" w:type="dxa"/>
            <w:tcBorders>
              <w:bottom w:val="single" w:sz="12" w:space="0" w:color="000000"/>
            </w:tcBorders>
            <w:shd w:fill="CCEEFF" w:val="clear"/>
            <w:vAlign w:val="bottom"/>
          </w:tcPr>
          <w:p>
            <w:pPr>
              <w:pStyle w:val="TableContents"/>
              <w:bidi w:val="0"/>
              <w:spacing w:before="0" w:after="0"/>
              <w:jc w:val="center"/>
              <w:rPr/>
            </w:pPr>
            <w:r>
              <w:rPr/>
              <w:t>[Note 3]</w:t>
            </w:r>
          </w:p>
        </w:tc>
        <w:tc>
          <w:tcPr>
            <w:tcW w:w="60" w:type="dxa"/>
            <w:tcBorders>
              <w:bottom w:val="single" w:sz="12" w:space="0" w:color="000000"/>
            </w:tcBorders>
            <w:shd w:fill="CCEEFF" w:val="clear"/>
            <w:vAlign w:val="bottom"/>
          </w:tcPr>
          <w:p>
            <w:pPr>
              <w:pStyle w:val="TableContents"/>
              <w:bidi w:val="0"/>
              <w:spacing w:before="0" w:after="0"/>
              <w:jc w:val="left"/>
              <w:rPr/>
            </w:pPr>
            <w:r>
              <w:rPr/>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vAlign w:val="bottom"/>
          </w:tcPr>
          <w:p>
            <w:pPr>
              <w:pStyle w:val="TableContents"/>
              <w:bidi w:val="0"/>
              <w:spacing w:before="0" w:after="0"/>
              <w:jc w:val="left"/>
              <w:rPr/>
            </w:pPr>
            <w:r>
              <w:rPr/>
              <w:t>$</w:t>
            </w:r>
          </w:p>
        </w:tc>
        <w:tc>
          <w:tcPr>
            <w:tcW w:w="1220" w:type="dxa"/>
            <w:tcBorders>
              <w:bottom w:val="single" w:sz="12" w:space="0" w:color="000000"/>
            </w:tcBorders>
            <w:shd w:fill="CCEEFF" w:val="clear"/>
            <w:vAlign w:val="bottom"/>
          </w:tcPr>
          <w:p>
            <w:pPr>
              <w:pStyle w:val="TableContents"/>
              <w:bidi w:val="0"/>
              <w:spacing w:before="0" w:after="0"/>
              <w:jc w:val="right"/>
              <w:rPr/>
            </w:pPr>
            <w:r>
              <w:rPr/>
              <w:t>(0.08</w:t>
            </w:r>
          </w:p>
        </w:tc>
        <w:tc>
          <w:tcPr>
            <w:tcW w:w="95" w:type="dxa"/>
            <w:tcBorders/>
            <w:shd w:fill="CCEEFF" w:val="clear"/>
            <w:tcMar>
              <w:bottom w:w="0" w:type="dxa"/>
            </w:tcMar>
            <w:vAlign w:val="bottom"/>
          </w:tcPr>
          <w:p>
            <w:pPr>
              <w:pStyle w:val="TableContents"/>
              <w:bidi w:val="0"/>
              <w:spacing w:before="0" w:after="0"/>
              <w:jc w:val="left"/>
              <w:rPr/>
            </w:pPr>
            <w:r>
              <w:rPr/>
              <w:t>)</w:t>
            </w:r>
          </w:p>
        </w:tc>
      </w:tr>
      <w:tr>
        <w:trPr/>
        <w:tc>
          <w:tcPr>
            <w:tcW w:w="7370" w:type="dxa"/>
            <w:tcBorders/>
            <w:tcMar>
              <w:bottom w:w="0" w:type="dxa"/>
            </w:tcMar>
            <w:vAlign w:val="bottom"/>
          </w:tcPr>
          <w:p>
            <w:pPr>
              <w:pStyle w:val="TableContents"/>
              <w:bidi w:val="0"/>
              <w:spacing w:before="0" w:after="0"/>
              <w:ind w:left="180" w:right="0" w:hanging="180"/>
              <w:jc w:val="left"/>
              <w:rPr>
                <w:b/>
              </w:rPr>
            </w:pPr>
            <w:r>
              <w:rPr>
                <w:b/>
              </w:rPr>
              <w:t>Weighted average shares used in calculating net income (loss) per share attributable to common stockholders:</w:t>
            </w:r>
          </w:p>
        </w:tc>
        <w:tc>
          <w:tcPr>
            <w:tcW w:w="60" w:type="dxa"/>
            <w:tcBorders/>
            <w:tcMar>
              <w:bottom w:w="0" w:type="dxa"/>
            </w:tcMar>
            <w:vAlign w:val="bottom"/>
          </w:tcPr>
          <w:p>
            <w:pPr>
              <w:pStyle w:val="TableContents"/>
              <w:bidi w:val="0"/>
              <w:spacing w:before="0" w:after="283"/>
              <w:jc w:val="left"/>
              <w:rPr/>
            </w:pPr>
            <w:r>
              <w:rPr/>
              <w:t> </w:t>
            </w:r>
          </w:p>
        </w:tc>
        <w:tc>
          <w:tcPr>
            <w:tcW w:w="250" w:type="dxa"/>
            <w:tcBorders/>
            <w:tcMar>
              <w:bottom w:w="0" w:type="dxa"/>
            </w:tcMar>
            <w:vAlign w:val="bottom"/>
          </w:tcPr>
          <w:p>
            <w:pPr>
              <w:pStyle w:val="TableContents"/>
              <w:bidi w:val="0"/>
              <w:spacing w:before="0" w:after="283"/>
              <w:jc w:val="left"/>
              <w:rPr/>
            </w:pPr>
            <w:r>
              <w:rPr/>
              <w:t> </w:t>
            </w:r>
          </w:p>
        </w:tc>
        <w:tc>
          <w:tcPr>
            <w:tcW w:w="2185"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9" w:type="dxa"/>
            <w:tcBorders/>
            <w:tcMar>
              <w:bottom w:w="0" w:type="dxa"/>
            </w:tcMar>
            <w:vAlign w:val="bottom"/>
          </w:tcPr>
          <w:p>
            <w:pPr>
              <w:pStyle w:val="TableContents"/>
              <w:bidi w:val="0"/>
              <w:spacing w:before="0" w:after="283"/>
              <w:jc w:val="left"/>
              <w:rPr/>
            </w:pPr>
            <w:r>
              <w:rPr/>
              <w:t> </w:t>
            </w:r>
          </w:p>
        </w:tc>
        <w:tc>
          <w:tcPr>
            <w:tcW w:w="1176"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1" w:type="dxa"/>
            <w:tcBorders/>
            <w:tcMar>
              <w:bottom w:w="0" w:type="dxa"/>
            </w:tcMar>
            <w:vAlign w:val="bottom"/>
          </w:tcPr>
          <w:p>
            <w:pPr>
              <w:pStyle w:val="TableContents"/>
              <w:bidi w:val="0"/>
              <w:spacing w:before="0" w:after="283"/>
              <w:jc w:val="left"/>
              <w:rPr/>
            </w:pPr>
            <w:r>
              <w:rPr/>
              <w:t> </w:t>
            </w:r>
          </w:p>
        </w:tc>
        <w:tc>
          <w:tcPr>
            <w:tcW w:w="2014"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1" w:type="dxa"/>
            <w:tcBorders/>
            <w:tcMar>
              <w:bottom w:w="0" w:type="dxa"/>
            </w:tcMar>
            <w:vAlign w:val="bottom"/>
          </w:tcPr>
          <w:p>
            <w:pPr>
              <w:pStyle w:val="TableContents"/>
              <w:bidi w:val="0"/>
              <w:spacing w:before="0" w:after="283"/>
              <w:jc w:val="left"/>
              <w:rPr/>
            </w:pPr>
            <w:r>
              <w:rPr/>
              <w:t> </w:t>
            </w:r>
          </w:p>
        </w:tc>
        <w:tc>
          <w:tcPr>
            <w:tcW w:w="2279" w:type="dxa"/>
            <w:tcBorders/>
            <w:tcMar>
              <w:bottom w:w="0" w:type="dxa"/>
            </w:tcMar>
            <w:vAlign w:val="bottom"/>
          </w:tcPr>
          <w:p>
            <w:pPr>
              <w:pStyle w:val="TableContents"/>
              <w:bidi w:val="0"/>
              <w:spacing w:before="0" w:after="283"/>
              <w:jc w:val="right"/>
              <w:rPr/>
            </w:pPr>
            <w:r>
              <w:rPr/>
              <w:t> </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15" w:type="dxa"/>
            <w:tcBorders/>
            <w:tcMar>
              <w:bottom w:w="0" w:type="dxa"/>
            </w:tcMar>
            <w:vAlign w:val="bottom"/>
          </w:tcPr>
          <w:p>
            <w:pPr>
              <w:pStyle w:val="TableContents"/>
              <w:bidi w:val="0"/>
              <w:spacing w:before="0" w:after="283"/>
              <w:jc w:val="center"/>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0" w:type="dxa"/>
            <w:tcBorders/>
            <w:tcMar>
              <w:bottom w:w="0" w:type="dxa"/>
            </w:tcMar>
            <w:vAlign w:val="bottom"/>
          </w:tcPr>
          <w:p>
            <w:pPr>
              <w:pStyle w:val="TableContents"/>
              <w:bidi w:val="0"/>
              <w:spacing w:before="0" w:after="283"/>
              <w:jc w:val="left"/>
              <w:rPr/>
            </w:pPr>
            <w:r>
              <w:rPr/>
              <w:t> </w:t>
            </w:r>
          </w:p>
        </w:tc>
        <w:tc>
          <w:tcPr>
            <w:tcW w:w="1220"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r>
      <w:tr>
        <w:trPr/>
        <w:tc>
          <w:tcPr>
            <w:tcW w:w="7370" w:type="dxa"/>
            <w:tcBorders/>
            <w:shd w:fill="CCEEFF" w:val="clear"/>
            <w:tcMar>
              <w:bottom w:w="0" w:type="dxa"/>
            </w:tcMar>
            <w:vAlign w:val="bottom"/>
          </w:tcPr>
          <w:p>
            <w:pPr>
              <w:pStyle w:val="TableContents"/>
              <w:bidi w:val="0"/>
              <w:spacing w:before="0" w:after="0"/>
              <w:jc w:val="left"/>
              <w:rPr/>
            </w:pPr>
            <w:r>
              <w:rPr/>
              <w:t>Basic</w:t>
            </w:r>
          </w:p>
        </w:tc>
        <w:tc>
          <w:tcPr>
            <w:tcW w:w="60" w:type="dxa"/>
            <w:tcBorders/>
            <w:shd w:fill="CCEEFF" w:val="clear"/>
            <w:tcMar>
              <w:bottom w:w="0" w:type="dxa"/>
            </w:tcMar>
            <w:vAlign w:val="bottom"/>
          </w:tcPr>
          <w:p>
            <w:pPr>
              <w:pStyle w:val="TableContents"/>
              <w:bidi w:val="0"/>
              <w:spacing w:before="0" w:after="283"/>
              <w:jc w:val="left"/>
              <w:rPr/>
            </w:pPr>
            <w:r>
              <w:rPr/>
              <w:t> </w:t>
            </w:r>
          </w:p>
        </w:tc>
        <w:tc>
          <w:tcPr>
            <w:tcW w:w="250" w:type="dxa"/>
            <w:tcBorders/>
            <w:shd w:fill="CCEEFF" w:val="clear"/>
            <w:tcMar>
              <w:bottom w:w="0" w:type="dxa"/>
            </w:tcMar>
            <w:vAlign w:val="bottom"/>
          </w:tcPr>
          <w:p>
            <w:pPr>
              <w:pStyle w:val="TableContents"/>
              <w:bidi w:val="0"/>
              <w:spacing w:before="0" w:after="283"/>
              <w:jc w:val="left"/>
              <w:rPr/>
            </w:pPr>
            <w:r>
              <w:rPr/>
              <w:t> </w:t>
            </w:r>
          </w:p>
        </w:tc>
        <w:tc>
          <w:tcPr>
            <w:tcW w:w="2185" w:type="dxa"/>
            <w:tcBorders/>
            <w:shd w:fill="CCEEFF" w:val="clear"/>
            <w:tcMar>
              <w:bottom w:w="0" w:type="dxa"/>
            </w:tcMar>
            <w:vAlign w:val="bottom"/>
          </w:tcPr>
          <w:p>
            <w:pPr>
              <w:pStyle w:val="TableContents"/>
              <w:bidi w:val="0"/>
              <w:spacing w:before="0" w:after="0"/>
              <w:jc w:val="right"/>
              <w:rPr/>
            </w:pPr>
            <w:r>
              <w:rPr/>
              <w:t>89,344,622</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9" w:type="dxa"/>
            <w:tcBorders/>
            <w:shd w:fill="CCEEFF" w:val="clear"/>
            <w:tcMar>
              <w:bottom w:w="0" w:type="dxa"/>
            </w:tcMar>
            <w:vAlign w:val="bottom"/>
          </w:tcPr>
          <w:p>
            <w:pPr>
              <w:pStyle w:val="TableContents"/>
              <w:bidi w:val="0"/>
              <w:spacing w:before="0" w:after="283"/>
              <w:jc w:val="left"/>
              <w:rPr/>
            </w:pPr>
            <w:r>
              <w:rPr/>
              <w:t> </w:t>
            </w:r>
          </w:p>
        </w:tc>
        <w:tc>
          <w:tcPr>
            <w:tcW w:w="1176" w:type="dxa"/>
            <w:tcBorders/>
            <w:shd w:fill="CCEEFF" w:val="clear"/>
            <w:tcMar>
              <w:bottom w:w="0" w:type="dxa"/>
            </w:tcMar>
            <w:vAlign w:val="bottom"/>
          </w:tcPr>
          <w:p>
            <w:pPr>
              <w:pStyle w:val="TableContents"/>
              <w:bidi w:val="0"/>
              <w:spacing w:before="0" w:after="0"/>
              <w:jc w:val="right"/>
              <w:rPr/>
            </w:pPr>
            <w:r>
              <w:rPr/>
              <w:t>10,023,615</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2014"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2279" w:type="dxa"/>
            <w:tcBorders/>
            <w:shd w:fill="CCEEFF" w:val="clear"/>
            <w:tcMar>
              <w:bottom w:w="0" w:type="dxa"/>
            </w:tcMar>
            <w:vAlign w:val="bottom"/>
          </w:tcPr>
          <w:p>
            <w:pPr>
              <w:pStyle w:val="TableContents"/>
              <w:bidi w:val="0"/>
              <w:spacing w:before="0" w:after="283"/>
              <w:jc w:val="right"/>
              <w:rPr/>
            </w:pPr>
            <w:r>
              <w:rPr/>
              <w:t> </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15" w:type="dxa"/>
            <w:tcBorders/>
            <w:shd w:fill="CCEEFF" w:val="clear"/>
            <w:tcMar>
              <w:bottom w:w="0" w:type="dxa"/>
            </w:tcMar>
            <w:vAlign w:val="bottom"/>
          </w:tcPr>
          <w:p>
            <w:pPr>
              <w:pStyle w:val="TableContents"/>
              <w:bidi w:val="0"/>
              <w:spacing w:before="0" w:after="0"/>
              <w:jc w:val="center"/>
              <w:rPr/>
            </w:pPr>
            <w:r>
              <w:rPr/>
              <w:t>[Note 3]</w:t>
            </w:r>
          </w:p>
        </w:tc>
        <w:tc>
          <w:tcPr>
            <w:tcW w:w="60" w:type="dxa"/>
            <w:tcBorders/>
            <w:shd w:fill="CCEEFF" w:val="clear"/>
            <w:tcMar>
              <w:bottom w:w="0" w:type="dxa"/>
            </w:tcMar>
            <w:vAlign w:val="bottom"/>
          </w:tcPr>
          <w:p>
            <w:pPr>
              <w:pStyle w:val="TableContents"/>
              <w:bidi w:val="0"/>
              <w:spacing w:before="0" w:after="0"/>
              <w:jc w:val="left"/>
              <w:rPr/>
            </w:pPr>
            <w:r>
              <w:rPr/>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1220" w:type="dxa"/>
            <w:tcBorders/>
            <w:shd w:fill="CCEEFF" w:val="clear"/>
            <w:tcMar>
              <w:bottom w:w="0" w:type="dxa"/>
            </w:tcMar>
            <w:vAlign w:val="bottom"/>
          </w:tcPr>
          <w:p>
            <w:pPr>
              <w:pStyle w:val="TableContents"/>
              <w:bidi w:val="0"/>
              <w:spacing w:before="0" w:after="0"/>
              <w:jc w:val="right"/>
              <w:rPr/>
            </w:pPr>
            <w:r>
              <w:rPr/>
              <w:t>103,795,149</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7370" w:type="dxa"/>
            <w:tcBorders>
              <w:bottom w:val="single" w:sz="12" w:space="0" w:color="000000"/>
            </w:tcBorders>
            <w:vAlign w:val="bottom"/>
          </w:tcPr>
          <w:p>
            <w:pPr>
              <w:pStyle w:val="TableContents"/>
              <w:bidi w:val="0"/>
              <w:spacing w:before="0" w:after="0"/>
              <w:jc w:val="left"/>
              <w:rPr/>
            </w:pPr>
            <w:r>
              <w:rPr/>
              <w:t>Diluted</w:t>
            </w:r>
          </w:p>
        </w:tc>
        <w:tc>
          <w:tcPr>
            <w:tcW w:w="60" w:type="dxa"/>
            <w:tcBorders>
              <w:bottom w:val="single" w:sz="12" w:space="0" w:color="000000"/>
            </w:tcBorders>
            <w:vAlign w:val="bottom"/>
          </w:tcPr>
          <w:p>
            <w:pPr>
              <w:pStyle w:val="TableContents"/>
              <w:bidi w:val="0"/>
              <w:spacing w:before="0" w:after="283"/>
              <w:jc w:val="left"/>
              <w:rPr/>
            </w:pPr>
            <w:r>
              <w:rPr/>
              <w:t> </w:t>
            </w:r>
          </w:p>
        </w:tc>
        <w:tc>
          <w:tcPr>
            <w:tcW w:w="250" w:type="dxa"/>
            <w:tcBorders>
              <w:bottom w:val="single" w:sz="12" w:space="0" w:color="000000"/>
            </w:tcBorders>
            <w:vAlign w:val="bottom"/>
          </w:tcPr>
          <w:p>
            <w:pPr>
              <w:pStyle w:val="TableContents"/>
              <w:bidi w:val="0"/>
              <w:spacing w:before="0" w:after="283"/>
              <w:jc w:val="left"/>
              <w:rPr/>
            </w:pPr>
            <w:r>
              <w:rPr/>
              <w:t> </w:t>
            </w:r>
          </w:p>
        </w:tc>
        <w:tc>
          <w:tcPr>
            <w:tcW w:w="2185" w:type="dxa"/>
            <w:tcBorders>
              <w:bottom w:val="single" w:sz="12" w:space="0" w:color="000000"/>
            </w:tcBorders>
            <w:vAlign w:val="bottom"/>
          </w:tcPr>
          <w:p>
            <w:pPr>
              <w:pStyle w:val="TableContents"/>
              <w:bidi w:val="0"/>
              <w:spacing w:before="0" w:after="0"/>
              <w:jc w:val="right"/>
              <w:rPr/>
            </w:pPr>
            <w:r>
              <w:rPr/>
              <w:t>103,180,037</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49" w:type="dxa"/>
            <w:tcBorders>
              <w:bottom w:val="single" w:sz="12" w:space="0" w:color="000000"/>
            </w:tcBorders>
            <w:vAlign w:val="bottom"/>
          </w:tcPr>
          <w:p>
            <w:pPr>
              <w:pStyle w:val="TableContents"/>
              <w:bidi w:val="0"/>
              <w:spacing w:before="0" w:after="283"/>
              <w:jc w:val="left"/>
              <w:rPr/>
            </w:pPr>
            <w:r>
              <w:rPr/>
              <w:t> </w:t>
            </w:r>
          </w:p>
        </w:tc>
        <w:tc>
          <w:tcPr>
            <w:tcW w:w="1176" w:type="dxa"/>
            <w:tcBorders>
              <w:bottom w:val="single" w:sz="12" w:space="0" w:color="000000"/>
            </w:tcBorders>
            <w:vAlign w:val="bottom"/>
          </w:tcPr>
          <w:p>
            <w:pPr>
              <w:pStyle w:val="TableContents"/>
              <w:bidi w:val="0"/>
              <w:spacing w:before="0" w:after="0"/>
              <w:jc w:val="right"/>
              <w:rPr/>
            </w:pPr>
            <w:r>
              <w:rPr/>
              <w:t>10,023,615</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51" w:type="dxa"/>
            <w:tcBorders>
              <w:bottom w:val="single" w:sz="12" w:space="0" w:color="000000"/>
            </w:tcBorders>
            <w:vAlign w:val="bottom"/>
          </w:tcPr>
          <w:p>
            <w:pPr>
              <w:pStyle w:val="TableContents"/>
              <w:bidi w:val="0"/>
              <w:spacing w:before="0" w:after="283"/>
              <w:jc w:val="left"/>
              <w:rPr/>
            </w:pPr>
            <w:r>
              <w:rPr/>
              <w:t> </w:t>
            </w:r>
          </w:p>
        </w:tc>
        <w:tc>
          <w:tcPr>
            <w:tcW w:w="2014" w:type="dxa"/>
            <w:tcBorders>
              <w:bottom w:val="single" w:sz="12" w:space="0" w:color="000000"/>
            </w:tcBorders>
            <w:vAlign w:val="bottom"/>
          </w:tcPr>
          <w:p>
            <w:pPr>
              <w:pStyle w:val="TableContents"/>
              <w:bidi w:val="0"/>
              <w:spacing w:before="0" w:after="283"/>
              <w:jc w:val="right"/>
              <w:rPr/>
            </w:pPr>
            <w:r>
              <w:rPr/>
              <w:t> </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01" w:type="dxa"/>
            <w:tcBorders>
              <w:bottom w:val="single" w:sz="12" w:space="0" w:color="000000"/>
            </w:tcBorders>
            <w:vAlign w:val="bottom"/>
          </w:tcPr>
          <w:p>
            <w:pPr>
              <w:pStyle w:val="TableContents"/>
              <w:bidi w:val="0"/>
              <w:spacing w:before="0" w:after="283"/>
              <w:jc w:val="left"/>
              <w:rPr/>
            </w:pPr>
            <w:r>
              <w:rPr/>
              <w:t> </w:t>
            </w:r>
          </w:p>
        </w:tc>
        <w:tc>
          <w:tcPr>
            <w:tcW w:w="2279" w:type="dxa"/>
            <w:tcBorders>
              <w:bottom w:val="single" w:sz="12" w:space="0" w:color="000000"/>
            </w:tcBorders>
            <w:vAlign w:val="bottom"/>
          </w:tcPr>
          <w:p>
            <w:pPr>
              <w:pStyle w:val="TableContents"/>
              <w:bidi w:val="0"/>
              <w:spacing w:before="0" w:after="283"/>
              <w:jc w:val="right"/>
              <w:rPr/>
            </w:pPr>
            <w:r>
              <w:rPr/>
              <w:t> </w:t>
            </w:r>
          </w:p>
        </w:tc>
        <w:tc>
          <w:tcPr>
            <w:tcW w:w="15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815" w:type="dxa"/>
            <w:tcBorders>
              <w:bottom w:val="single" w:sz="12" w:space="0" w:color="000000"/>
            </w:tcBorders>
            <w:vAlign w:val="bottom"/>
          </w:tcPr>
          <w:p>
            <w:pPr>
              <w:pStyle w:val="TableContents"/>
              <w:bidi w:val="0"/>
              <w:spacing w:before="0" w:after="0"/>
              <w:jc w:val="center"/>
              <w:rPr/>
            </w:pPr>
            <w:r>
              <w:rPr/>
              <w:t>[Note 3]</w:t>
            </w:r>
          </w:p>
        </w:tc>
        <w:tc>
          <w:tcPr>
            <w:tcW w:w="60" w:type="dxa"/>
            <w:tcBorders>
              <w:bottom w:val="single" w:sz="12" w:space="0" w:color="000000"/>
            </w:tcBorders>
            <w:vAlign w:val="bottom"/>
          </w:tcPr>
          <w:p>
            <w:pPr>
              <w:pStyle w:val="TableContents"/>
              <w:bidi w:val="0"/>
              <w:spacing w:before="0" w:after="0"/>
              <w:jc w:val="left"/>
              <w:rPr/>
            </w:pPr>
            <w:r>
              <w:rPr/>
            </w:r>
          </w:p>
        </w:tc>
        <w:tc>
          <w:tcPr>
            <w:tcW w:w="60" w:type="dxa"/>
            <w:tcBorders>
              <w:bottom w:val="single" w:sz="12" w:space="0" w:color="000000"/>
            </w:tcBorders>
            <w:vAlign w:val="bottom"/>
          </w:tcPr>
          <w:p>
            <w:pPr>
              <w:pStyle w:val="TableContents"/>
              <w:bidi w:val="0"/>
              <w:spacing w:before="0" w:after="283"/>
              <w:jc w:val="lef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1220" w:type="dxa"/>
            <w:tcBorders>
              <w:bottom w:val="single" w:sz="12" w:space="0" w:color="000000"/>
            </w:tcBorders>
            <w:vAlign w:val="bottom"/>
          </w:tcPr>
          <w:p>
            <w:pPr>
              <w:pStyle w:val="TableContents"/>
              <w:bidi w:val="0"/>
              <w:spacing w:before="0" w:after="0"/>
              <w:jc w:val="right"/>
              <w:rPr/>
            </w:pPr>
            <w:r>
              <w:rPr/>
              <w:t>103,878,456</w:t>
            </w:r>
          </w:p>
        </w:tc>
        <w:tc>
          <w:tcPr>
            <w:tcW w:w="95" w:type="dxa"/>
            <w:tcBorders/>
            <w:tcMar>
              <w:bottom w:w="0" w:type="dxa"/>
            </w:tcMar>
            <w:vAlign w:val="bottom"/>
          </w:tcPr>
          <w:p>
            <w:pPr>
              <w:pStyle w:val="TableContents"/>
              <w:bidi w:val="0"/>
              <w:spacing w:before="0" w:after="283"/>
              <w:jc w:val="left"/>
              <w:rPr/>
            </w:pPr>
            <w:r>
              <w:rPr/>
              <w:t> </w:t>
            </w:r>
          </w:p>
        </w:tc>
      </w:tr>
      <w:tr>
        <w:trPr/>
        <w:tc>
          <w:tcPr>
            <w:tcW w:w="7370" w:type="dxa"/>
            <w:tcBorders>
              <w:bottom w:val="single" w:sz="12" w:space="0" w:color="000000"/>
            </w:tcBorders>
            <w:shd w:fill="CCEEFF" w:val="clear"/>
            <w:vAlign w:val="bottom"/>
          </w:tcPr>
          <w:p>
            <w:pPr>
              <w:pStyle w:val="TableContents"/>
              <w:bidi w:val="0"/>
              <w:spacing w:before="0" w:after="0"/>
              <w:jc w:val="left"/>
              <w:rPr>
                <w:b/>
              </w:rPr>
            </w:pPr>
            <w:r>
              <w:rPr>
                <w:b/>
              </w:rPr>
              <w:t>Other comprehensive income (loss):</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50" w:type="dxa"/>
            <w:tcBorders>
              <w:bottom w:val="single" w:sz="12" w:space="0" w:color="000000"/>
            </w:tcBorders>
            <w:shd w:fill="CCEEFF" w:val="clear"/>
            <w:vAlign w:val="bottom"/>
          </w:tcPr>
          <w:p>
            <w:pPr>
              <w:pStyle w:val="TableContents"/>
              <w:bidi w:val="0"/>
              <w:spacing w:before="0" w:after="283"/>
              <w:jc w:val="left"/>
              <w:rPr/>
            </w:pPr>
            <w:r>
              <w:rPr/>
              <w:t> </w:t>
            </w:r>
          </w:p>
        </w:tc>
        <w:tc>
          <w:tcPr>
            <w:tcW w:w="2185" w:type="dxa"/>
            <w:tcBorders>
              <w:bottom w:val="single" w:sz="12" w:space="0" w:color="000000"/>
            </w:tcBorders>
            <w:shd w:fill="CCEEFF" w:val="clear"/>
            <w:vAlign w:val="bottom"/>
          </w:tcPr>
          <w:p>
            <w:pPr>
              <w:pStyle w:val="TableContents"/>
              <w:bidi w:val="0"/>
              <w:spacing w:before="0" w:after="283"/>
              <w:jc w:val="right"/>
              <w:rPr/>
            </w:pPr>
            <w:r>
              <w:rPr/>
              <w:t> </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49" w:type="dxa"/>
            <w:tcBorders>
              <w:bottom w:val="single" w:sz="12" w:space="0" w:color="000000"/>
            </w:tcBorders>
            <w:shd w:fill="CCEEFF" w:val="clear"/>
            <w:vAlign w:val="bottom"/>
          </w:tcPr>
          <w:p>
            <w:pPr>
              <w:pStyle w:val="TableContents"/>
              <w:bidi w:val="0"/>
              <w:spacing w:before="0" w:after="283"/>
              <w:jc w:val="left"/>
              <w:rPr/>
            </w:pPr>
            <w:r>
              <w:rPr/>
              <w:t> </w:t>
            </w:r>
          </w:p>
        </w:tc>
        <w:tc>
          <w:tcPr>
            <w:tcW w:w="1176" w:type="dxa"/>
            <w:tcBorders>
              <w:bottom w:val="single" w:sz="12" w:space="0" w:color="000000"/>
            </w:tcBorders>
            <w:shd w:fill="CCEEFF" w:val="clear"/>
            <w:vAlign w:val="bottom"/>
          </w:tcPr>
          <w:p>
            <w:pPr>
              <w:pStyle w:val="TableContents"/>
              <w:bidi w:val="0"/>
              <w:spacing w:before="0" w:after="283"/>
              <w:jc w:val="right"/>
              <w:rPr/>
            </w:pPr>
            <w:r>
              <w:rPr/>
              <w:t> </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vAlign w:val="bottom"/>
          </w:tcPr>
          <w:p>
            <w:pPr>
              <w:pStyle w:val="TableContents"/>
              <w:bidi w:val="0"/>
              <w:spacing w:before="0" w:after="283"/>
              <w:jc w:val="left"/>
              <w:rPr/>
            </w:pPr>
            <w:r>
              <w:rPr/>
              <w:t> </w:t>
            </w:r>
          </w:p>
        </w:tc>
        <w:tc>
          <w:tcPr>
            <w:tcW w:w="2014" w:type="dxa"/>
            <w:tcBorders>
              <w:bottom w:val="single" w:sz="12" w:space="0" w:color="000000"/>
            </w:tcBorders>
            <w:shd w:fill="CCEEFF" w:val="clear"/>
            <w:vAlign w:val="bottom"/>
          </w:tcPr>
          <w:p>
            <w:pPr>
              <w:pStyle w:val="TableContents"/>
              <w:bidi w:val="0"/>
              <w:spacing w:before="0" w:after="283"/>
              <w:jc w:val="right"/>
              <w:rPr/>
            </w:pPr>
            <w:r>
              <w:rPr/>
              <w:t> </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vAlign w:val="bottom"/>
          </w:tcPr>
          <w:p>
            <w:pPr>
              <w:pStyle w:val="TableContents"/>
              <w:bidi w:val="0"/>
              <w:spacing w:before="0" w:after="283"/>
              <w:jc w:val="left"/>
              <w:rPr/>
            </w:pPr>
            <w:r>
              <w:rPr/>
              <w:t> </w:t>
            </w:r>
          </w:p>
        </w:tc>
        <w:tc>
          <w:tcPr>
            <w:tcW w:w="2279" w:type="dxa"/>
            <w:tcBorders>
              <w:bottom w:val="single" w:sz="12" w:space="0" w:color="000000"/>
            </w:tcBorders>
            <w:shd w:fill="CCEEFF" w:val="clear"/>
            <w:vAlign w:val="bottom"/>
          </w:tcPr>
          <w:p>
            <w:pPr>
              <w:pStyle w:val="TableContents"/>
              <w:bidi w:val="0"/>
              <w:spacing w:before="0" w:after="283"/>
              <w:jc w:val="right"/>
              <w:rPr/>
            </w:pPr>
            <w:r>
              <w:rPr/>
              <w:t> </w:t>
            </w:r>
          </w:p>
        </w:tc>
        <w:tc>
          <w:tcPr>
            <w:tcW w:w="15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815"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vAlign w:val="bottom"/>
          </w:tcPr>
          <w:p>
            <w:pPr>
              <w:pStyle w:val="TableContents"/>
              <w:bidi w:val="0"/>
              <w:spacing w:before="0" w:after="283"/>
              <w:jc w:val="left"/>
              <w:rPr/>
            </w:pPr>
            <w:r>
              <w:rPr/>
              <w:t> </w:t>
            </w:r>
          </w:p>
        </w:tc>
        <w:tc>
          <w:tcPr>
            <w:tcW w:w="1220" w:type="dxa"/>
            <w:tcBorders>
              <w:bottom w:val="single" w:sz="12" w:space="0" w:color="000000"/>
            </w:tcBorders>
            <w:shd w:fill="CCEEFF" w:val="cle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7370" w:type="dxa"/>
            <w:tcBorders/>
            <w:tcMar>
              <w:bottom w:w="0" w:type="dxa"/>
            </w:tcMar>
            <w:vAlign w:val="bottom"/>
          </w:tcPr>
          <w:p>
            <w:pPr>
              <w:pStyle w:val="TableContents"/>
              <w:bidi w:val="0"/>
              <w:spacing w:before="0" w:after="0"/>
              <w:jc w:val="left"/>
              <w:rPr>
                <w:b/>
              </w:rPr>
            </w:pPr>
            <w:r>
              <w:rPr>
                <w:b/>
              </w:rPr>
              <w:t>Net income (loss) from operations</w:t>
            </w:r>
          </w:p>
        </w:tc>
        <w:tc>
          <w:tcPr>
            <w:tcW w:w="60" w:type="dxa"/>
            <w:tcBorders/>
            <w:tcMar>
              <w:bottom w:w="0" w:type="dxa"/>
            </w:tcMar>
            <w:vAlign w:val="bottom"/>
          </w:tcPr>
          <w:p>
            <w:pPr>
              <w:pStyle w:val="TableContents"/>
              <w:bidi w:val="0"/>
              <w:spacing w:before="0" w:after="283"/>
              <w:jc w:val="left"/>
              <w:rPr/>
            </w:pPr>
            <w:r>
              <w:rPr/>
              <w:t> </w:t>
            </w:r>
          </w:p>
        </w:tc>
        <w:tc>
          <w:tcPr>
            <w:tcW w:w="250" w:type="dxa"/>
            <w:tcBorders/>
            <w:tcMar>
              <w:bottom w:w="0" w:type="dxa"/>
            </w:tcMar>
            <w:vAlign w:val="bottom"/>
          </w:tcPr>
          <w:p>
            <w:pPr>
              <w:pStyle w:val="TableContents"/>
              <w:bidi w:val="0"/>
              <w:spacing w:before="0" w:after="283"/>
              <w:jc w:val="left"/>
              <w:rPr/>
            </w:pPr>
            <w:r>
              <w:rPr/>
              <w:t> </w:t>
            </w:r>
          </w:p>
        </w:tc>
        <w:tc>
          <w:tcPr>
            <w:tcW w:w="2185" w:type="dxa"/>
            <w:tcBorders/>
            <w:tcMar>
              <w:bottom w:w="0" w:type="dxa"/>
            </w:tcMar>
            <w:vAlign w:val="bottom"/>
          </w:tcPr>
          <w:p>
            <w:pPr>
              <w:pStyle w:val="TableContents"/>
              <w:bidi w:val="0"/>
              <w:spacing w:before="0" w:after="0"/>
              <w:jc w:val="right"/>
              <w:rPr>
                <w:b/>
              </w:rPr>
            </w:pPr>
            <w:r>
              <w:rPr>
                <w:b/>
              </w:rPr>
              <w:t>9,880</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9" w:type="dxa"/>
            <w:tcBorders/>
            <w:tcMar>
              <w:bottom w:w="0" w:type="dxa"/>
            </w:tcMar>
            <w:vAlign w:val="bottom"/>
          </w:tcPr>
          <w:p>
            <w:pPr>
              <w:pStyle w:val="TableContents"/>
              <w:bidi w:val="0"/>
              <w:spacing w:before="0" w:after="283"/>
              <w:jc w:val="left"/>
              <w:rPr/>
            </w:pPr>
            <w:r>
              <w:rPr/>
              <w:t> </w:t>
            </w:r>
          </w:p>
        </w:tc>
        <w:tc>
          <w:tcPr>
            <w:tcW w:w="1176" w:type="dxa"/>
            <w:tcBorders/>
            <w:tcMar>
              <w:bottom w:w="0" w:type="dxa"/>
            </w:tcMar>
            <w:vAlign w:val="bottom"/>
          </w:tcPr>
          <w:p>
            <w:pPr>
              <w:pStyle w:val="TableContents"/>
              <w:bidi w:val="0"/>
              <w:spacing w:before="0" w:after="0"/>
              <w:jc w:val="right"/>
              <w:rPr>
                <w:b/>
              </w:rPr>
            </w:pPr>
            <w:r>
              <w:rPr>
                <w:b/>
              </w:rPr>
              <w:t>(10,805</w:t>
            </w:r>
          </w:p>
        </w:tc>
        <w:tc>
          <w:tcPr>
            <w:tcW w:w="95" w:type="dxa"/>
            <w:tcBorders/>
            <w:tcMar>
              <w:bottom w:w="0" w:type="dxa"/>
            </w:tcMar>
            <w:vAlign w:val="bottom"/>
          </w:tcPr>
          <w:p>
            <w:pPr>
              <w:pStyle w:val="TableContents"/>
              <w:bidi w:val="0"/>
              <w:spacing w:before="0" w:after="0"/>
              <w:jc w:val="left"/>
              <w:rPr>
                <w:b/>
              </w:rPr>
            </w:pPr>
            <w:r>
              <w:rPr>
                <w:b/>
              </w:rPr>
              <w:t>)</w:t>
            </w:r>
          </w:p>
        </w:tc>
        <w:tc>
          <w:tcPr>
            <w:tcW w:w="60" w:type="dxa"/>
            <w:tcBorders/>
            <w:tcMar>
              <w:bottom w:w="0" w:type="dxa"/>
            </w:tcMar>
            <w:vAlign w:val="bottom"/>
          </w:tcPr>
          <w:p>
            <w:pPr>
              <w:pStyle w:val="TableContents"/>
              <w:bidi w:val="0"/>
              <w:spacing w:before="0" w:after="283"/>
              <w:jc w:val="left"/>
              <w:rPr/>
            </w:pPr>
            <w:r>
              <w:rPr/>
              <w:t> </w:t>
            </w:r>
          </w:p>
        </w:tc>
        <w:tc>
          <w:tcPr>
            <w:tcW w:w="151" w:type="dxa"/>
            <w:tcBorders/>
            <w:tcMar>
              <w:bottom w:w="0" w:type="dxa"/>
            </w:tcMar>
            <w:vAlign w:val="bottom"/>
          </w:tcPr>
          <w:p>
            <w:pPr>
              <w:pStyle w:val="TableContents"/>
              <w:bidi w:val="0"/>
              <w:spacing w:before="0" w:after="283"/>
              <w:jc w:val="left"/>
              <w:rPr/>
            </w:pPr>
            <w:r>
              <w:rPr/>
              <w:t> </w:t>
            </w:r>
          </w:p>
        </w:tc>
        <w:tc>
          <w:tcPr>
            <w:tcW w:w="2014" w:type="dxa"/>
            <w:tcBorders/>
            <w:tcMar>
              <w:bottom w:w="0" w:type="dxa"/>
            </w:tcMar>
            <w:vAlign w:val="bottom"/>
          </w:tcPr>
          <w:p>
            <w:pPr>
              <w:pStyle w:val="TableContents"/>
              <w:bidi w:val="0"/>
              <w:spacing w:before="0" w:after="0"/>
              <w:jc w:val="right"/>
              <w:rPr>
                <w:b/>
              </w:rPr>
            </w:pPr>
            <w:r>
              <w:rPr>
                <w:b/>
              </w:rPr>
              <w:t>(925</w:t>
            </w:r>
          </w:p>
        </w:tc>
        <w:tc>
          <w:tcPr>
            <w:tcW w:w="95" w:type="dxa"/>
            <w:tcBorders/>
            <w:tcMar>
              <w:bottom w:w="0" w:type="dxa"/>
            </w:tcMar>
            <w:vAlign w:val="bottom"/>
          </w:tcPr>
          <w:p>
            <w:pPr>
              <w:pStyle w:val="TableContents"/>
              <w:bidi w:val="0"/>
              <w:spacing w:before="0" w:after="0"/>
              <w:jc w:val="left"/>
              <w:rPr>
                <w:b/>
              </w:rPr>
            </w:pPr>
            <w:r>
              <w:rPr>
                <w:b/>
              </w:rPr>
              <w:t>)</w:t>
            </w:r>
          </w:p>
        </w:tc>
        <w:tc>
          <w:tcPr>
            <w:tcW w:w="60" w:type="dxa"/>
            <w:tcBorders/>
            <w:tcMar>
              <w:bottom w:w="0" w:type="dxa"/>
            </w:tcMar>
            <w:vAlign w:val="bottom"/>
          </w:tcPr>
          <w:p>
            <w:pPr>
              <w:pStyle w:val="TableContents"/>
              <w:bidi w:val="0"/>
              <w:spacing w:before="0" w:after="283"/>
              <w:jc w:val="left"/>
              <w:rPr/>
            </w:pPr>
            <w:r>
              <w:rPr/>
              <w:t> </w:t>
            </w:r>
          </w:p>
        </w:tc>
        <w:tc>
          <w:tcPr>
            <w:tcW w:w="201" w:type="dxa"/>
            <w:tcBorders/>
            <w:tcMar>
              <w:bottom w:w="0" w:type="dxa"/>
            </w:tcMar>
            <w:vAlign w:val="bottom"/>
          </w:tcPr>
          <w:p>
            <w:pPr>
              <w:pStyle w:val="TableContents"/>
              <w:bidi w:val="0"/>
              <w:spacing w:before="0" w:after="283"/>
              <w:jc w:val="left"/>
              <w:rPr/>
            </w:pPr>
            <w:r>
              <w:rPr/>
              <w:t> </w:t>
            </w:r>
          </w:p>
        </w:tc>
        <w:tc>
          <w:tcPr>
            <w:tcW w:w="2279" w:type="dxa"/>
            <w:tcBorders/>
            <w:tcMar>
              <w:bottom w:w="0" w:type="dxa"/>
            </w:tcMar>
            <w:vAlign w:val="bottom"/>
          </w:tcPr>
          <w:p>
            <w:pPr>
              <w:pStyle w:val="TableContents"/>
              <w:bidi w:val="0"/>
              <w:spacing w:before="0" w:after="0"/>
              <w:jc w:val="right"/>
              <w:rPr>
                <w:b/>
              </w:rPr>
            </w:pPr>
            <w:r>
              <w:rPr>
                <w:b/>
              </w:rPr>
              <w:t>(302</w:t>
            </w:r>
          </w:p>
        </w:tc>
        <w:tc>
          <w:tcPr>
            <w:tcW w:w="155" w:type="dxa"/>
            <w:tcBorders/>
            <w:tcMar>
              <w:bottom w:w="0" w:type="dxa"/>
            </w:tcMar>
            <w:vAlign w:val="bottom"/>
          </w:tcPr>
          <w:p>
            <w:pPr>
              <w:pStyle w:val="TableContents"/>
              <w:bidi w:val="0"/>
              <w:spacing w:before="0" w:after="283"/>
              <w:jc w:val="left"/>
              <w:rPr/>
            </w:pPr>
            <w:r>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15"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0" w:type="dxa"/>
            <w:tcBorders/>
            <w:tcMar>
              <w:bottom w:w="0" w:type="dxa"/>
            </w:tcMar>
            <w:vAlign w:val="bottom"/>
          </w:tcPr>
          <w:p>
            <w:pPr>
              <w:pStyle w:val="TableContents"/>
              <w:bidi w:val="0"/>
              <w:spacing w:before="0" w:after="283"/>
              <w:jc w:val="left"/>
              <w:rPr/>
            </w:pPr>
            <w:r>
              <w:rPr/>
              <w:t> </w:t>
            </w:r>
          </w:p>
        </w:tc>
        <w:tc>
          <w:tcPr>
            <w:tcW w:w="1220" w:type="dxa"/>
            <w:tcBorders/>
            <w:tcMar>
              <w:bottom w:w="0" w:type="dxa"/>
            </w:tcMar>
            <w:vAlign w:val="bottom"/>
          </w:tcPr>
          <w:p>
            <w:pPr>
              <w:pStyle w:val="TableContents"/>
              <w:bidi w:val="0"/>
              <w:spacing w:before="0" w:after="0"/>
              <w:jc w:val="right"/>
              <w:rPr>
                <w:b/>
              </w:rPr>
            </w:pPr>
            <w:r>
              <w:rPr>
                <w:b/>
              </w:rPr>
              <w:t>(1,227</w:t>
            </w:r>
          </w:p>
        </w:tc>
        <w:tc>
          <w:tcPr>
            <w:tcW w:w="95" w:type="dxa"/>
            <w:tcBorders/>
            <w:tcMar>
              <w:bottom w:w="0" w:type="dxa"/>
            </w:tcMar>
            <w:vAlign w:val="bottom"/>
          </w:tcPr>
          <w:p>
            <w:pPr>
              <w:pStyle w:val="TableContents"/>
              <w:bidi w:val="0"/>
              <w:spacing w:before="0" w:after="0"/>
              <w:jc w:val="left"/>
              <w:rPr>
                <w:b/>
              </w:rPr>
            </w:pPr>
            <w:r>
              <w:rPr>
                <w:b/>
              </w:rPr>
              <w:t>)</w:t>
            </w:r>
          </w:p>
        </w:tc>
      </w:tr>
      <w:tr>
        <w:trPr/>
        <w:tc>
          <w:tcPr>
            <w:tcW w:w="7370" w:type="dxa"/>
            <w:tcBorders/>
            <w:shd w:fill="CCEEFF" w:val="clear"/>
            <w:tcMar>
              <w:bottom w:w="0" w:type="dxa"/>
            </w:tcMar>
            <w:vAlign w:val="bottom"/>
          </w:tcPr>
          <w:p>
            <w:pPr>
              <w:pStyle w:val="TableContents"/>
              <w:bidi w:val="0"/>
              <w:spacing w:before="0" w:after="0"/>
              <w:jc w:val="left"/>
              <w:rPr/>
            </w:pPr>
            <w:r>
              <w:rPr/>
              <w:t>Foreign currency translation adjustments</w:t>
            </w:r>
          </w:p>
        </w:tc>
        <w:tc>
          <w:tcPr>
            <w:tcW w:w="60" w:type="dxa"/>
            <w:tcBorders/>
            <w:shd w:fill="CCEEFF" w:val="clear"/>
            <w:tcMar>
              <w:bottom w:w="0" w:type="dxa"/>
            </w:tcMar>
            <w:vAlign w:val="bottom"/>
          </w:tcPr>
          <w:p>
            <w:pPr>
              <w:pStyle w:val="TableContents"/>
              <w:bidi w:val="0"/>
              <w:spacing w:before="0" w:after="283"/>
              <w:jc w:val="left"/>
              <w:rPr/>
            </w:pPr>
            <w:r>
              <w:rPr/>
              <w:t> </w:t>
            </w:r>
          </w:p>
        </w:tc>
        <w:tc>
          <w:tcPr>
            <w:tcW w:w="250" w:type="dxa"/>
            <w:tcBorders/>
            <w:shd w:fill="CCEEFF" w:val="clear"/>
            <w:tcMar>
              <w:bottom w:w="0" w:type="dxa"/>
            </w:tcMar>
            <w:vAlign w:val="bottom"/>
          </w:tcPr>
          <w:p>
            <w:pPr>
              <w:pStyle w:val="TableContents"/>
              <w:bidi w:val="0"/>
              <w:spacing w:before="0" w:after="283"/>
              <w:jc w:val="left"/>
              <w:rPr/>
            </w:pPr>
            <w:r>
              <w:rPr/>
              <w:t> </w:t>
            </w:r>
          </w:p>
        </w:tc>
        <w:tc>
          <w:tcPr>
            <w:tcW w:w="2185" w:type="dxa"/>
            <w:tcBorders/>
            <w:shd w:fill="CCEEFF" w:val="clear"/>
            <w:tcMar>
              <w:bottom w:w="0" w:type="dxa"/>
            </w:tcMar>
            <w:vAlign w:val="bottom"/>
          </w:tcPr>
          <w:p>
            <w:pPr>
              <w:pStyle w:val="TableContents"/>
              <w:bidi w:val="0"/>
              <w:spacing w:before="0" w:after="0"/>
              <w:jc w:val="right"/>
              <w:rPr/>
            </w:pPr>
            <w:r>
              <w:rPr/>
              <w:t>2,636</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9" w:type="dxa"/>
            <w:tcBorders/>
            <w:shd w:fill="CCEEFF" w:val="clear"/>
            <w:tcMar>
              <w:bottom w:w="0" w:type="dxa"/>
            </w:tcMar>
            <w:vAlign w:val="bottom"/>
          </w:tcPr>
          <w:p>
            <w:pPr>
              <w:pStyle w:val="TableContents"/>
              <w:bidi w:val="0"/>
              <w:spacing w:before="0" w:after="283"/>
              <w:jc w:val="left"/>
              <w:rPr/>
            </w:pPr>
            <w:r>
              <w:rPr/>
              <w:t> </w:t>
            </w:r>
          </w:p>
        </w:tc>
        <w:tc>
          <w:tcPr>
            <w:tcW w:w="1176" w:type="dxa"/>
            <w:tcBorders/>
            <w:shd w:fill="CCEEFF" w:val="clear"/>
            <w:tcMar>
              <w:bottom w:w="0" w:type="dxa"/>
            </w:tcMar>
            <w:vAlign w:val="bottom"/>
          </w:tcPr>
          <w:p>
            <w:pPr>
              <w:pStyle w:val="TableContents"/>
              <w:bidi w:val="0"/>
              <w:spacing w:before="0" w:after="0"/>
              <w:jc w:val="right"/>
              <w:rPr/>
            </w:pPr>
            <w:r>
              <w:rPr/>
              <w:t>432</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2014" w:type="dxa"/>
            <w:tcBorders/>
            <w:shd w:fill="CCEEFF" w:val="clear"/>
            <w:tcMar>
              <w:bottom w:w="0" w:type="dxa"/>
            </w:tcMar>
            <w:vAlign w:val="bottom"/>
          </w:tcPr>
          <w:p>
            <w:pPr>
              <w:pStyle w:val="TableContents"/>
              <w:bidi w:val="0"/>
              <w:spacing w:before="0" w:after="0"/>
              <w:jc w:val="right"/>
              <w:rPr/>
            </w:pPr>
            <w:r>
              <w:rPr/>
              <w:t>3,068</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2279" w:type="dxa"/>
            <w:tcBorders/>
            <w:shd w:fill="CCEEFF" w:val="clear"/>
            <w:tcMar>
              <w:bottom w:w="0" w:type="dxa"/>
            </w:tcMar>
            <w:vAlign w:val="bottom"/>
          </w:tcPr>
          <w:p>
            <w:pPr>
              <w:pStyle w:val="TableContents"/>
              <w:bidi w:val="0"/>
              <w:spacing w:before="0" w:after="0"/>
              <w:jc w:val="right"/>
              <w:rPr/>
            </w:pPr>
            <w:r>
              <w:rPr/>
              <w:t>-</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15"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1220" w:type="dxa"/>
            <w:tcBorders/>
            <w:shd w:fill="CCEEFF" w:val="clear"/>
            <w:tcMar>
              <w:bottom w:w="0" w:type="dxa"/>
            </w:tcMar>
            <w:vAlign w:val="bottom"/>
          </w:tcPr>
          <w:p>
            <w:pPr>
              <w:pStyle w:val="TableContents"/>
              <w:bidi w:val="0"/>
              <w:spacing w:before="0" w:after="0"/>
              <w:jc w:val="right"/>
              <w:rPr/>
            </w:pPr>
            <w:r>
              <w:rPr/>
              <w:t>3,068</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7370" w:type="dxa"/>
            <w:tcBorders/>
            <w:tcMar>
              <w:bottom w:w="0" w:type="dxa"/>
            </w:tcMar>
            <w:vAlign w:val="bottom"/>
          </w:tcPr>
          <w:p>
            <w:pPr>
              <w:pStyle w:val="TableContents"/>
              <w:bidi w:val="0"/>
              <w:spacing w:before="0" w:after="0"/>
              <w:jc w:val="left"/>
              <w:rPr/>
            </w:pPr>
            <w:r>
              <w:rPr/>
              <w:t>Unrealized gain on short-term investments</w:t>
            </w:r>
          </w:p>
        </w:tc>
        <w:tc>
          <w:tcPr>
            <w:tcW w:w="60" w:type="dxa"/>
            <w:tcBorders/>
            <w:tcMar>
              <w:bottom w:w="0" w:type="dxa"/>
            </w:tcMar>
            <w:vAlign w:val="bottom"/>
          </w:tcPr>
          <w:p>
            <w:pPr>
              <w:pStyle w:val="TableContents"/>
              <w:bidi w:val="0"/>
              <w:spacing w:before="0" w:after="283"/>
              <w:jc w:val="left"/>
              <w:rPr/>
            </w:pPr>
            <w:r>
              <w:rPr/>
              <w:t> </w:t>
            </w:r>
          </w:p>
        </w:tc>
        <w:tc>
          <w:tcPr>
            <w:tcW w:w="250" w:type="dxa"/>
            <w:tcBorders/>
            <w:tcMar>
              <w:bottom w:w="0" w:type="dxa"/>
            </w:tcMar>
            <w:vAlign w:val="bottom"/>
          </w:tcPr>
          <w:p>
            <w:pPr>
              <w:pStyle w:val="TableContents"/>
              <w:bidi w:val="0"/>
              <w:spacing w:before="0" w:after="283"/>
              <w:jc w:val="left"/>
              <w:rPr/>
            </w:pPr>
            <w:r>
              <w:rPr/>
              <w:t> </w:t>
            </w:r>
          </w:p>
        </w:tc>
        <w:tc>
          <w:tcPr>
            <w:tcW w:w="2185" w:type="dxa"/>
            <w:tcBorders/>
            <w:tcMar>
              <w:bottom w:w="0" w:type="dxa"/>
            </w:tcMar>
            <w:vAlign w:val="bottom"/>
          </w:tcPr>
          <w:p>
            <w:pPr>
              <w:pStyle w:val="TableContents"/>
              <w:bidi w:val="0"/>
              <w:spacing w:before="0" w:after="0"/>
              <w:jc w:val="right"/>
              <w:rPr/>
            </w:pPr>
            <w:r>
              <w:rPr/>
              <w:t>-</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9" w:type="dxa"/>
            <w:tcBorders/>
            <w:tcMar>
              <w:bottom w:w="0" w:type="dxa"/>
            </w:tcMar>
            <w:vAlign w:val="bottom"/>
          </w:tcPr>
          <w:p>
            <w:pPr>
              <w:pStyle w:val="TableContents"/>
              <w:bidi w:val="0"/>
              <w:spacing w:before="0" w:after="283"/>
              <w:jc w:val="left"/>
              <w:rPr/>
            </w:pPr>
            <w:r>
              <w:rPr/>
              <w:t> </w:t>
            </w:r>
          </w:p>
        </w:tc>
        <w:tc>
          <w:tcPr>
            <w:tcW w:w="1176" w:type="dxa"/>
            <w:tcBorders/>
            <w:tcMar>
              <w:bottom w:w="0" w:type="dxa"/>
            </w:tcMar>
            <w:vAlign w:val="bottom"/>
          </w:tcPr>
          <w:p>
            <w:pPr>
              <w:pStyle w:val="TableContents"/>
              <w:bidi w:val="0"/>
              <w:spacing w:before="0" w:after="0"/>
              <w:jc w:val="right"/>
              <w:rPr/>
            </w:pPr>
            <w:r>
              <w:rPr/>
              <w:t>23</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1" w:type="dxa"/>
            <w:tcBorders/>
            <w:tcMar>
              <w:bottom w:w="0" w:type="dxa"/>
            </w:tcMar>
            <w:vAlign w:val="bottom"/>
          </w:tcPr>
          <w:p>
            <w:pPr>
              <w:pStyle w:val="TableContents"/>
              <w:bidi w:val="0"/>
              <w:spacing w:before="0" w:after="283"/>
              <w:jc w:val="left"/>
              <w:rPr/>
            </w:pPr>
            <w:r>
              <w:rPr/>
              <w:t> </w:t>
            </w:r>
          </w:p>
        </w:tc>
        <w:tc>
          <w:tcPr>
            <w:tcW w:w="2014" w:type="dxa"/>
            <w:tcBorders/>
            <w:tcMar>
              <w:bottom w:w="0" w:type="dxa"/>
            </w:tcMar>
            <w:vAlign w:val="bottom"/>
          </w:tcPr>
          <w:p>
            <w:pPr>
              <w:pStyle w:val="TableContents"/>
              <w:bidi w:val="0"/>
              <w:spacing w:before="0" w:after="0"/>
              <w:jc w:val="right"/>
              <w:rPr/>
            </w:pPr>
            <w:r>
              <w:rPr/>
              <w:t>23</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1" w:type="dxa"/>
            <w:tcBorders/>
            <w:tcMar>
              <w:bottom w:w="0" w:type="dxa"/>
            </w:tcMar>
            <w:vAlign w:val="bottom"/>
          </w:tcPr>
          <w:p>
            <w:pPr>
              <w:pStyle w:val="TableContents"/>
              <w:bidi w:val="0"/>
              <w:spacing w:before="0" w:after="283"/>
              <w:jc w:val="left"/>
              <w:rPr/>
            </w:pPr>
            <w:r>
              <w:rPr/>
              <w:t> </w:t>
            </w:r>
          </w:p>
        </w:tc>
        <w:tc>
          <w:tcPr>
            <w:tcW w:w="2279" w:type="dxa"/>
            <w:tcBorders/>
            <w:tcMar>
              <w:bottom w:w="0" w:type="dxa"/>
            </w:tcMar>
            <w:vAlign w:val="bottom"/>
          </w:tcPr>
          <w:p>
            <w:pPr>
              <w:pStyle w:val="TableContents"/>
              <w:bidi w:val="0"/>
              <w:spacing w:before="0" w:after="0"/>
              <w:jc w:val="right"/>
              <w:rPr/>
            </w:pPr>
            <w:r>
              <w:rPr/>
              <w:t>-</w:t>
            </w:r>
          </w:p>
        </w:tc>
        <w:tc>
          <w:tcPr>
            <w:tcW w:w="15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15"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0" w:type="dxa"/>
            <w:tcBorders/>
            <w:tcMar>
              <w:bottom w:w="0" w:type="dxa"/>
            </w:tcMar>
            <w:vAlign w:val="bottom"/>
          </w:tcPr>
          <w:p>
            <w:pPr>
              <w:pStyle w:val="TableContents"/>
              <w:bidi w:val="0"/>
              <w:spacing w:before="0" w:after="283"/>
              <w:jc w:val="left"/>
              <w:rPr/>
            </w:pPr>
            <w:r>
              <w:rPr/>
              <w:t> </w:t>
            </w:r>
          </w:p>
        </w:tc>
        <w:tc>
          <w:tcPr>
            <w:tcW w:w="1220" w:type="dxa"/>
            <w:tcBorders/>
            <w:tcMar>
              <w:bottom w:w="0" w:type="dxa"/>
            </w:tcMar>
            <w:vAlign w:val="bottom"/>
          </w:tcPr>
          <w:p>
            <w:pPr>
              <w:pStyle w:val="TableContents"/>
              <w:bidi w:val="0"/>
              <w:spacing w:before="0" w:after="0"/>
              <w:jc w:val="right"/>
              <w:rPr/>
            </w:pPr>
            <w:r>
              <w:rPr/>
              <w:t>23</w:t>
            </w:r>
          </w:p>
        </w:tc>
        <w:tc>
          <w:tcPr>
            <w:tcW w:w="95" w:type="dxa"/>
            <w:tcBorders/>
            <w:tcMar>
              <w:bottom w:w="0" w:type="dxa"/>
            </w:tcMar>
            <w:vAlign w:val="bottom"/>
          </w:tcPr>
          <w:p>
            <w:pPr>
              <w:pStyle w:val="TableContents"/>
              <w:bidi w:val="0"/>
              <w:spacing w:before="0" w:after="283"/>
              <w:jc w:val="left"/>
              <w:rPr/>
            </w:pPr>
            <w:r>
              <w:rPr/>
              <w:t> </w:t>
            </w:r>
          </w:p>
        </w:tc>
      </w:tr>
      <w:tr>
        <w:trPr/>
        <w:tc>
          <w:tcPr>
            <w:tcW w:w="7370" w:type="dxa"/>
            <w:tcBorders>
              <w:bottom w:val="single" w:sz="12" w:space="0" w:color="000000"/>
            </w:tcBorders>
            <w:shd w:fill="CCEEFF" w:val="clear"/>
            <w:vAlign w:val="bottom"/>
          </w:tcPr>
          <w:p>
            <w:pPr>
              <w:pStyle w:val="TableContents"/>
              <w:bidi w:val="0"/>
              <w:spacing w:before="0" w:after="0"/>
              <w:jc w:val="left"/>
              <w:rPr/>
            </w:pPr>
            <w:r>
              <w:rPr/>
              <w:t>Reclassification adjustment for realized loss to net loss</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50" w:type="dxa"/>
            <w:tcBorders>
              <w:bottom w:val="single" w:sz="12" w:space="0" w:color="000000"/>
            </w:tcBorders>
            <w:shd w:fill="CCEEFF" w:val="clear"/>
            <w:vAlign w:val="bottom"/>
          </w:tcPr>
          <w:p>
            <w:pPr>
              <w:pStyle w:val="TableContents"/>
              <w:bidi w:val="0"/>
              <w:spacing w:before="0" w:after="283"/>
              <w:jc w:val="left"/>
              <w:rPr/>
            </w:pPr>
            <w:r>
              <w:rPr/>
              <w:t> </w:t>
            </w:r>
          </w:p>
        </w:tc>
        <w:tc>
          <w:tcPr>
            <w:tcW w:w="2185" w:type="dxa"/>
            <w:tcBorders>
              <w:bottom w:val="single" w:sz="12" w:space="0" w:color="000000"/>
            </w:tcBorders>
            <w:shd w:fill="CCEEFF" w:val="clear"/>
            <w:vAlign w:val="bottom"/>
          </w:tcPr>
          <w:p>
            <w:pPr>
              <w:pStyle w:val="TableContents"/>
              <w:bidi w:val="0"/>
              <w:spacing w:before="0" w:after="0"/>
              <w:jc w:val="right"/>
              <w:rPr/>
            </w:pPr>
            <w:r>
              <w:rPr/>
              <w:t>-</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49" w:type="dxa"/>
            <w:tcBorders>
              <w:bottom w:val="single" w:sz="12" w:space="0" w:color="000000"/>
            </w:tcBorders>
            <w:shd w:fill="CCEEFF" w:val="clear"/>
            <w:vAlign w:val="bottom"/>
          </w:tcPr>
          <w:p>
            <w:pPr>
              <w:pStyle w:val="TableContents"/>
              <w:bidi w:val="0"/>
              <w:spacing w:before="0" w:after="283"/>
              <w:jc w:val="left"/>
              <w:rPr/>
            </w:pPr>
            <w:r>
              <w:rPr/>
              <w:t> </w:t>
            </w:r>
          </w:p>
        </w:tc>
        <w:tc>
          <w:tcPr>
            <w:tcW w:w="1176" w:type="dxa"/>
            <w:tcBorders>
              <w:bottom w:val="single" w:sz="12" w:space="0" w:color="000000"/>
            </w:tcBorders>
            <w:shd w:fill="CCEEFF" w:val="clear"/>
            <w:vAlign w:val="bottom"/>
          </w:tcPr>
          <w:p>
            <w:pPr>
              <w:pStyle w:val="TableContents"/>
              <w:bidi w:val="0"/>
              <w:spacing w:before="0" w:after="0"/>
              <w:jc w:val="right"/>
              <w:rPr/>
            </w:pPr>
            <w:r>
              <w:rPr/>
              <w:t>(10</w:t>
            </w:r>
          </w:p>
        </w:tc>
        <w:tc>
          <w:tcPr>
            <w:tcW w:w="95" w:type="dxa"/>
            <w:tcBorders>
              <w:bottom w:val="single" w:sz="12" w:space="0" w:color="000000"/>
            </w:tcBorders>
            <w:shd w:fill="CCEEFF" w:val="clear"/>
            <w:vAlign w:val="bottom"/>
          </w:tcPr>
          <w:p>
            <w:pPr>
              <w:pStyle w:val="TableContents"/>
              <w:bidi w:val="0"/>
              <w:spacing w:before="0" w:after="0"/>
              <w:jc w:val="left"/>
              <w:rPr/>
            </w:pPr>
            <w:r>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vAlign w:val="bottom"/>
          </w:tcPr>
          <w:p>
            <w:pPr>
              <w:pStyle w:val="TableContents"/>
              <w:bidi w:val="0"/>
              <w:spacing w:before="0" w:after="283"/>
              <w:jc w:val="left"/>
              <w:rPr/>
            </w:pPr>
            <w:r>
              <w:rPr/>
              <w:t> </w:t>
            </w:r>
          </w:p>
        </w:tc>
        <w:tc>
          <w:tcPr>
            <w:tcW w:w="2014" w:type="dxa"/>
            <w:tcBorders>
              <w:bottom w:val="single" w:sz="12" w:space="0" w:color="000000"/>
            </w:tcBorders>
            <w:shd w:fill="CCEEFF" w:val="clear"/>
            <w:vAlign w:val="bottom"/>
          </w:tcPr>
          <w:p>
            <w:pPr>
              <w:pStyle w:val="TableContents"/>
              <w:bidi w:val="0"/>
              <w:spacing w:before="0" w:after="0"/>
              <w:jc w:val="right"/>
              <w:rPr/>
            </w:pPr>
            <w:r>
              <w:rPr/>
              <w:t>(10</w:t>
            </w:r>
          </w:p>
        </w:tc>
        <w:tc>
          <w:tcPr>
            <w:tcW w:w="95" w:type="dxa"/>
            <w:tcBorders>
              <w:bottom w:val="single" w:sz="12" w:space="0" w:color="000000"/>
            </w:tcBorders>
            <w:shd w:fill="CCEEFF" w:val="clear"/>
            <w:vAlign w:val="bottom"/>
          </w:tcPr>
          <w:p>
            <w:pPr>
              <w:pStyle w:val="TableContents"/>
              <w:bidi w:val="0"/>
              <w:spacing w:before="0" w:after="0"/>
              <w:jc w:val="left"/>
              <w:rPr/>
            </w:pPr>
            <w:r>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vAlign w:val="bottom"/>
          </w:tcPr>
          <w:p>
            <w:pPr>
              <w:pStyle w:val="TableContents"/>
              <w:bidi w:val="0"/>
              <w:spacing w:before="0" w:after="283"/>
              <w:jc w:val="left"/>
              <w:rPr/>
            </w:pPr>
            <w:r>
              <w:rPr/>
              <w:t> </w:t>
            </w:r>
          </w:p>
        </w:tc>
        <w:tc>
          <w:tcPr>
            <w:tcW w:w="2279" w:type="dxa"/>
            <w:tcBorders>
              <w:bottom w:val="single" w:sz="12" w:space="0" w:color="000000"/>
            </w:tcBorders>
            <w:shd w:fill="CCEEFF" w:val="clear"/>
            <w:vAlign w:val="bottom"/>
          </w:tcPr>
          <w:p>
            <w:pPr>
              <w:pStyle w:val="TableContents"/>
              <w:bidi w:val="0"/>
              <w:spacing w:before="0" w:after="0"/>
              <w:jc w:val="right"/>
              <w:rPr/>
            </w:pPr>
            <w:r>
              <w:rPr/>
              <w:t>-</w:t>
            </w:r>
          </w:p>
        </w:tc>
        <w:tc>
          <w:tcPr>
            <w:tcW w:w="15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815"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vAlign w:val="bottom"/>
          </w:tcPr>
          <w:p>
            <w:pPr>
              <w:pStyle w:val="TableContents"/>
              <w:bidi w:val="0"/>
              <w:spacing w:before="0" w:after="283"/>
              <w:jc w:val="left"/>
              <w:rPr/>
            </w:pPr>
            <w:r>
              <w:rPr/>
              <w:t> </w:t>
            </w:r>
          </w:p>
        </w:tc>
        <w:tc>
          <w:tcPr>
            <w:tcW w:w="1220" w:type="dxa"/>
            <w:tcBorders>
              <w:bottom w:val="single" w:sz="12" w:space="0" w:color="000000"/>
            </w:tcBorders>
            <w:shd w:fill="CCEEFF" w:val="clear"/>
            <w:vAlign w:val="bottom"/>
          </w:tcPr>
          <w:p>
            <w:pPr>
              <w:pStyle w:val="TableContents"/>
              <w:bidi w:val="0"/>
              <w:spacing w:before="0" w:after="0"/>
              <w:jc w:val="right"/>
              <w:rPr/>
            </w:pPr>
            <w:r>
              <w:rPr/>
              <w:t>(10</w:t>
            </w:r>
          </w:p>
        </w:tc>
        <w:tc>
          <w:tcPr>
            <w:tcW w:w="95" w:type="dxa"/>
            <w:tcBorders/>
            <w:shd w:fill="CCEEFF" w:val="clear"/>
            <w:tcMar>
              <w:bottom w:w="0" w:type="dxa"/>
            </w:tcMar>
            <w:vAlign w:val="bottom"/>
          </w:tcPr>
          <w:p>
            <w:pPr>
              <w:pStyle w:val="TableContents"/>
              <w:bidi w:val="0"/>
              <w:spacing w:before="0" w:after="0"/>
              <w:jc w:val="left"/>
              <w:rPr/>
            </w:pPr>
            <w:r>
              <w:rPr/>
              <w:t>)</w:t>
            </w:r>
          </w:p>
        </w:tc>
      </w:tr>
      <w:tr>
        <w:trPr/>
        <w:tc>
          <w:tcPr>
            <w:tcW w:w="7370" w:type="dxa"/>
            <w:tcBorders>
              <w:bottom w:val="single" w:sz="12" w:space="0" w:color="000000"/>
            </w:tcBorders>
            <w:vAlign w:val="bottom"/>
          </w:tcPr>
          <w:p>
            <w:pPr>
              <w:pStyle w:val="TableContents"/>
              <w:bidi w:val="0"/>
              <w:spacing w:before="0" w:after="0"/>
              <w:jc w:val="left"/>
              <w:rPr>
                <w:b/>
              </w:rPr>
            </w:pPr>
            <w:r>
              <w:rPr>
                <w:b/>
              </w:rPr>
              <w:t>Comprehensive income (loss) from operations</w:t>
            </w:r>
          </w:p>
        </w:tc>
        <w:tc>
          <w:tcPr>
            <w:tcW w:w="60" w:type="dxa"/>
            <w:tcBorders>
              <w:bottom w:val="single" w:sz="12" w:space="0" w:color="000000"/>
            </w:tcBorders>
            <w:vAlign w:val="bottom"/>
          </w:tcPr>
          <w:p>
            <w:pPr>
              <w:pStyle w:val="TableContents"/>
              <w:bidi w:val="0"/>
              <w:spacing w:before="0" w:after="283"/>
              <w:jc w:val="left"/>
              <w:rPr/>
            </w:pPr>
            <w:r>
              <w:rPr/>
              <w:t> </w:t>
            </w:r>
          </w:p>
        </w:tc>
        <w:tc>
          <w:tcPr>
            <w:tcW w:w="250" w:type="dxa"/>
            <w:tcBorders>
              <w:bottom w:val="single" w:sz="12" w:space="0" w:color="000000"/>
            </w:tcBorders>
            <w:vAlign w:val="bottom"/>
          </w:tcPr>
          <w:p>
            <w:pPr>
              <w:pStyle w:val="TableContents"/>
              <w:bidi w:val="0"/>
              <w:spacing w:before="0" w:after="283"/>
              <w:jc w:val="left"/>
              <w:rPr/>
            </w:pPr>
            <w:r>
              <w:rPr/>
              <w:t> </w:t>
            </w:r>
          </w:p>
        </w:tc>
        <w:tc>
          <w:tcPr>
            <w:tcW w:w="2185" w:type="dxa"/>
            <w:tcBorders>
              <w:bottom w:val="single" w:sz="12" w:space="0" w:color="000000"/>
            </w:tcBorders>
            <w:vAlign w:val="bottom"/>
          </w:tcPr>
          <w:p>
            <w:pPr>
              <w:pStyle w:val="TableContents"/>
              <w:bidi w:val="0"/>
              <w:spacing w:before="0" w:after="0"/>
              <w:jc w:val="right"/>
              <w:rPr>
                <w:b/>
              </w:rPr>
            </w:pPr>
            <w:r>
              <w:rPr>
                <w:b/>
              </w:rPr>
              <w:t>12,516</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49" w:type="dxa"/>
            <w:tcBorders>
              <w:bottom w:val="single" w:sz="12" w:space="0" w:color="000000"/>
            </w:tcBorders>
            <w:vAlign w:val="bottom"/>
          </w:tcPr>
          <w:p>
            <w:pPr>
              <w:pStyle w:val="TableContents"/>
              <w:bidi w:val="0"/>
              <w:spacing w:before="0" w:after="283"/>
              <w:jc w:val="left"/>
              <w:rPr/>
            </w:pPr>
            <w:r>
              <w:rPr/>
              <w:t> </w:t>
            </w:r>
          </w:p>
        </w:tc>
        <w:tc>
          <w:tcPr>
            <w:tcW w:w="1176" w:type="dxa"/>
            <w:tcBorders>
              <w:bottom w:val="single" w:sz="12" w:space="0" w:color="000000"/>
            </w:tcBorders>
            <w:vAlign w:val="bottom"/>
          </w:tcPr>
          <w:p>
            <w:pPr>
              <w:pStyle w:val="TableContents"/>
              <w:bidi w:val="0"/>
              <w:spacing w:before="0" w:after="0"/>
              <w:jc w:val="right"/>
              <w:rPr>
                <w:b/>
              </w:rPr>
            </w:pPr>
            <w:r>
              <w:rPr>
                <w:b/>
              </w:rPr>
              <w:t>(10,360</w:t>
            </w:r>
          </w:p>
        </w:tc>
        <w:tc>
          <w:tcPr>
            <w:tcW w:w="95" w:type="dxa"/>
            <w:tcBorders>
              <w:bottom w:val="single" w:sz="12" w:space="0" w:color="000000"/>
            </w:tcBorders>
            <w:vAlign w:val="bottom"/>
          </w:tcPr>
          <w:p>
            <w:pPr>
              <w:pStyle w:val="TableContents"/>
              <w:bidi w:val="0"/>
              <w:spacing w:before="0" w:after="0"/>
              <w:jc w:val="left"/>
              <w:rPr>
                <w:b/>
              </w:rPr>
            </w:pPr>
            <w:r>
              <w:rPr>
                <w:b/>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151" w:type="dxa"/>
            <w:tcBorders>
              <w:bottom w:val="single" w:sz="12" w:space="0" w:color="000000"/>
            </w:tcBorders>
            <w:vAlign w:val="bottom"/>
          </w:tcPr>
          <w:p>
            <w:pPr>
              <w:pStyle w:val="TableContents"/>
              <w:bidi w:val="0"/>
              <w:spacing w:before="0" w:after="283"/>
              <w:jc w:val="left"/>
              <w:rPr/>
            </w:pPr>
            <w:r>
              <w:rPr/>
              <w:t> </w:t>
            </w:r>
          </w:p>
        </w:tc>
        <w:tc>
          <w:tcPr>
            <w:tcW w:w="2014" w:type="dxa"/>
            <w:tcBorders>
              <w:bottom w:val="single" w:sz="12" w:space="0" w:color="000000"/>
            </w:tcBorders>
            <w:vAlign w:val="bottom"/>
          </w:tcPr>
          <w:p>
            <w:pPr>
              <w:pStyle w:val="TableContents"/>
              <w:bidi w:val="0"/>
              <w:spacing w:before="0" w:after="0"/>
              <w:jc w:val="right"/>
              <w:rPr>
                <w:b/>
              </w:rPr>
            </w:pPr>
            <w:r>
              <w:rPr>
                <w:b/>
              </w:rPr>
              <w:t>2,156</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01" w:type="dxa"/>
            <w:tcBorders>
              <w:bottom w:val="single" w:sz="12" w:space="0" w:color="000000"/>
            </w:tcBorders>
            <w:vAlign w:val="bottom"/>
          </w:tcPr>
          <w:p>
            <w:pPr>
              <w:pStyle w:val="TableContents"/>
              <w:bidi w:val="0"/>
              <w:spacing w:before="0" w:after="283"/>
              <w:jc w:val="left"/>
              <w:rPr/>
            </w:pPr>
            <w:r>
              <w:rPr/>
              <w:t> </w:t>
            </w:r>
          </w:p>
        </w:tc>
        <w:tc>
          <w:tcPr>
            <w:tcW w:w="2279" w:type="dxa"/>
            <w:tcBorders>
              <w:bottom w:val="single" w:sz="12" w:space="0" w:color="000000"/>
            </w:tcBorders>
            <w:vAlign w:val="bottom"/>
          </w:tcPr>
          <w:p>
            <w:pPr>
              <w:pStyle w:val="TableContents"/>
              <w:bidi w:val="0"/>
              <w:spacing w:before="0" w:after="0"/>
              <w:jc w:val="right"/>
              <w:rPr>
                <w:b/>
              </w:rPr>
            </w:pPr>
            <w:r>
              <w:rPr>
                <w:b/>
              </w:rPr>
              <w:t>(302</w:t>
            </w:r>
          </w:p>
        </w:tc>
        <w:tc>
          <w:tcPr>
            <w:tcW w:w="155" w:type="dxa"/>
            <w:tcBorders>
              <w:bottom w:val="single" w:sz="12" w:space="0" w:color="000000"/>
            </w:tcBorders>
            <w:vAlign w:val="bottom"/>
          </w:tcPr>
          <w:p>
            <w:pPr>
              <w:pStyle w:val="TableContents"/>
              <w:bidi w:val="0"/>
              <w:spacing w:before="0" w:after="283"/>
              <w:jc w:val="left"/>
              <w:rPr/>
            </w:pPr>
            <w:r>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815" w:type="dxa"/>
            <w:tcBorders>
              <w:bottom w:val="single" w:sz="12" w:space="0" w:color="000000"/>
            </w:tcBorders>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1220" w:type="dxa"/>
            <w:tcBorders>
              <w:bottom w:val="single" w:sz="12" w:space="0" w:color="000000"/>
            </w:tcBorders>
            <w:vAlign w:val="bottom"/>
          </w:tcPr>
          <w:p>
            <w:pPr>
              <w:pStyle w:val="TableContents"/>
              <w:bidi w:val="0"/>
              <w:spacing w:before="0" w:after="0"/>
              <w:jc w:val="right"/>
              <w:rPr>
                <w:b/>
              </w:rPr>
            </w:pPr>
            <w:r>
              <w:rPr>
                <w:b/>
              </w:rPr>
              <w:t>1,854</w:t>
            </w:r>
          </w:p>
        </w:tc>
        <w:tc>
          <w:tcPr>
            <w:tcW w:w="95" w:type="dxa"/>
            <w:tcBorders/>
            <w:tcMar>
              <w:bottom w:w="0" w:type="dxa"/>
            </w:tcMar>
            <w:vAlign w:val="bottom"/>
          </w:tcPr>
          <w:p>
            <w:pPr>
              <w:pStyle w:val="TableContents"/>
              <w:bidi w:val="0"/>
              <w:spacing w:before="0" w:after="283"/>
              <w:jc w:val="left"/>
              <w:rPr/>
            </w:pPr>
            <w:r>
              <w:rPr/>
              <w:t> </w:t>
            </w:r>
          </w:p>
        </w:tc>
      </w:tr>
      <w:tr>
        <w:trPr/>
        <w:tc>
          <w:tcPr>
            <w:tcW w:w="7370" w:type="dxa"/>
            <w:tcBorders/>
            <w:shd w:fill="CCEEFF" w:val="clear"/>
            <w:tcMar>
              <w:bottom w:w="0" w:type="dxa"/>
            </w:tcMar>
            <w:vAlign w:val="bottom"/>
          </w:tcPr>
          <w:p>
            <w:pPr>
              <w:pStyle w:val="TableContents"/>
              <w:bidi w:val="0"/>
              <w:spacing w:before="0" w:after="0"/>
              <w:jc w:val="left"/>
              <w:rPr>
                <w:b/>
              </w:rPr>
            </w:pPr>
            <w:r>
              <w:rPr>
                <w:b/>
              </w:rPr>
              <w:t>Net income (loss) attributable to noncontrolling interest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50" w:type="dxa"/>
            <w:tcBorders/>
            <w:shd w:fill="CCEEFF" w:val="clear"/>
            <w:tcMar>
              <w:bottom w:w="0" w:type="dxa"/>
            </w:tcMar>
            <w:vAlign w:val="bottom"/>
          </w:tcPr>
          <w:p>
            <w:pPr>
              <w:pStyle w:val="TableContents"/>
              <w:bidi w:val="0"/>
              <w:spacing w:before="0" w:after="283"/>
              <w:jc w:val="left"/>
              <w:rPr/>
            </w:pPr>
            <w:r>
              <w:rPr/>
              <w:t> </w:t>
            </w:r>
          </w:p>
        </w:tc>
        <w:tc>
          <w:tcPr>
            <w:tcW w:w="2185" w:type="dxa"/>
            <w:tcBorders/>
            <w:shd w:fill="CCEEFF" w:val="clear"/>
            <w:tcMar>
              <w:bottom w:w="0" w:type="dxa"/>
            </w:tcMar>
            <w:vAlign w:val="bottom"/>
          </w:tcPr>
          <w:p>
            <w:pPr>
              <w:pStyle w:val="TableContents"/>
              <w:bidi w:val="0"/>
              <w:spacing w:before="0" w:after="0"/>
              <w:jc w:val="right"/>
              <w:rPr>
                <w:b/>
              </w:rPr>
            </w:pPr>
            <w:r>
              <w:rPr>
                <w:b/>
              </w:rPr>
              <w:t>4,853</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9" w:type="dxa"/>
            <w:tcBorders/>
            <w:shd w:fill="CCEEFF" w:val="clear"/>
            <w:tcMar>
              <w:bottom w:w="0" w:type="dxa"/>
            </w:tcMar>
            <w:vAlign w:val="bottom"/>
          </w:tcPr>
          <w:p>
            <w:pPr>
              <w:pStyle w:val="TableContents"/>
              <w:bidi w:val="0"/>
              <w:spacing w:before="0" w:after="283"/>
              <w:jc w:val="left"/>
              <w:rPr/>
            </w:pPr>
            <w:r>
              <w:rPr/>
              <w:t> </w:t>
            </w:r>
          </w:p>
        </w:tc>
        <w:tc>
          <w:tcPr>
            <w:tcW w:w="1176" w:type="dxa"/>
            <w:tcBorders/>
            <w:shd w:fill="CCEEFF" w:val="clear"/>
            <w:tcMar>
              <w:bottom w:w="0" w:type="dxa"/>
            </w:tcMar>
            <w:vAlign w:val="bottom"/>
          </w:tcPr>
          <w:p>
            <w:pPr>
              <w:pStyle w:val="TableContents"/>
              <w:bidi w:val="0"/>
              <w:spacing w:before="0" w:after="0"/>
              <w:jc w:val="right"/>
              <w:rPr>
                <w:b/>
              </w:rPr>
            </w:pPr>
            <w:r>
              <w:rPr>
                <w:b/>
              </w:rPr>
              <w:t>-</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51" w:type="dxa"/>
            <w:tcBorders/>
            <w:shd w:fill="CCEEFF" w:val="clear"/>
            <w:tcMar>
              <w:bottom w:w="0" w:type="dxa"/>
            </w:tcMar>
            <w:vAlign w:val="bottom"/>
          </w:tcPr>
          <w:p>
            <w:pPr>
              <w:pStyle w:val="TableContents"/>
              <w:bidi w:val="0"/>
              <w:spacing w:before="0" w:after="283"/>
              <w:jc w:val="left"/>
              <w:rPr/>
            </w:pPr>
            <w:r>
              <w:rPr/>
              <w:t> </w:t>
            </w:r>
          </w:p>
        </w:tc>
        <w:tc>
          <w:tcPr>
            <w:tcW w:w="2014" w:type="dxa"/>
            <w:tcBorders/>
            <w:shd w:fill="CCEEFF" w:val="clear"/>
            <w:tcMar>
              <w:bottom w:w="0" w:type="dxa"/>
            </w:tcMar>
            <w:vAlign w:val="bottom"/>
          </w:tcPr>
          <w:p>
            <w:pPr>
              <w:pStyle w:val="TableContents"/>
              <w:bidi w:val="0"/>
              <w:spacing w:before="0" w:after="0"/>
              <w:jc w:val="right"/>
              <w:rPr>
                <w:b/>
              </w:rPr>
            </w:pPr>
            <w:r>
              <w:rPr>
                <w:b/>
              </w:rPr>
              <w:t>4,853</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1" w:type="dxa"/>
            <w:tcBorders/>
            <w:shd w:fill="CCEEFF" w:val="clear"/>
            <w:tcMar>
              <w:bottom w:w="0" w:type="dxa"/>
            </w:tcMar>
            <w:vAlign w:val="bottom"/>
          </w:tcPr>
          <w:p>
            <w:pPr>
              <w:pStyle w:val="TableContents"/>
              <w:bidi w:val="0"/>
              <w:spacing w:before="0" w:after="283"/>
              <w:jc w:val="left"/>
              <w:rPr/>
            </w:pPr>
            <w:r>
              <w:rPr/>
              <w:t> </w:t>
            </w:r>
          </w:p>
        </w:tc>
        <w:tc>
          <w:tcPr>
            <w:tcW w:w="2279" w:type="dxa"/>
            <w:tcBorders/>
            <w:shd w:fill="CCEEFF" w:val="clear"/>
            <w:tcMar>
              <w:bottom w:w="0" w:type="dxa"/>
            </w:tcMar>
            <w:vAlign w:val="bottom"/>
          </w:tcPr>
          <w:p>
            <w:pPr>
              <w:pStyle w:val="TableContents"/>
              <w:bidi w:val="0"/>
              <w:spacing w:before="0" w:after="0"/>
              <w:jc w:val="right"/>
              <w:rPr>
                <w:b/>
              </w:rPr>
            </w:pPr>
            <w:r>
              <w:rPr>
                <w:b/>
              </w:rPr>
              <w:t>-</w:t>
            </w:r>
          </w:p>
        </w:tc>
        <w:tc>
          <w:tcPr>
            <w:tcW w:w="15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15"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1220" w:type="dxa"/>
            <w:tcBorders/>
            <w:shd w:fill="CCEEFF" w:val="clear"/>
            <w:tcMar>
              <w:bottom w:w="0" w:type="dxa"/>
            </w:tcMar>
            <w:vAlign w:val="bottom"/>
          </w:tcPr>
          <w:p>
            <w:pPr>
              <w:pStyle w:val="TableContents"/>
              <w:bidi w:val="0"/>
              <w:spacing w:before="0" w:after="0"/>
              <w:jc w:val="right"/>
              <w:rPr>
                <w:b/>
              </w:rPr>
            </w:pPr>
            <w:r>
              <w:rPr>
                <w:b/>
              </w:rPr>
              <w:t>4,853</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7370" w:type="dxa"/>
            <w:tcBorders>
              <w:bottom w:val="single" w:sz="12" w:space="0" w:color="000000"/>
            </w:tcBorders>
            <w:vAlign w:val="bottom"/>
          </w:tcPr>
          <w:p>
            <w:pPr>
              <w:pStyle w:val="TableContents"/>
              <w:bidi w:val="0"/>
              <w:spacing w:before="0" w:after="0"/>
              <w:ind w:left="180" w:right="0" w:hanging="180"/>
              <w:jc w:val="left"/>
              <w:rPr/>
            </w:pPr>
            <w:r>
              <w:rPr/>
              <w:t>Foreign currency translation adjustments attributable to noncontrolling interest</w:t>
            </w:r>
          </w:p>
        </w:tc>
        <w:tc>
          <w:tcPr>
            <w:tcW w:w="60" w:type="dxa"/>
            <w:tcBorders>
              <w:bottom w:val="single" w:sz="12" w:space="0" w:color="000000"/>
            </w:tcBorders>
            <w:vAlign w:val="bottom"/>
          </w:tcPr>
          <w:p>
            <w:pPr>
              <w:pStyle w:val="TableContents"/>
              <w:bidi w:val="0"/>
              <w:spacing w:before="0" w:after="283"/>
              <w:jc w:val="left"/>
              <w:rPr/>
            </w:pPr>
            <w:r>
              <w:rPr/>
              <w:t> </w:t>
            </w:r>
          </w:p>
        </w:tc>
        <w:tc>
          <w:tcPr>
            <w:tcW w:w="250" w:type="dxa"/>
            <w:tcBorders>
              <w:bottom w:val="single" w:sz="12" w:space="0" w:color="000000"/>
            </w:tcBorders>
            <w:vAlign w:val="bottom"/>
          </w:tcPr>
          <w:p>
            <w:pPr>
              <w:pStyle w:val="TableContents"/>
              <w:bidi w:val="0"/>
              <w:spacing w:before="0" w:after="283"/>
              <w:jc w:val="left"/>
              <w:rPr/>
            </w:pPr>
            <w:r>
              <w:rPr/>
              <w:t> </w:t>
            </w:r>
          </w:p>
        </w:tc>
        <w:tc>
          <w:tcPr>
            <w:tcW w:w="2185" w:type="dxa"/>
            <w:tcBorders>
              <w:bottom w:val="single" w:sz="12" w:space="0" w:color="000000"/>
            </w:tcBorders>
            <w:vAlign w:val="bottom"/>
          </w:tcPr>
          <w:p>
            <w:pPr>
              <w:pStyle w:val="TableContents"/>
              <w:bidi w:val="0"/>
              <w:spacing w:before="0" w:after="0"/>
              <w:jc w:val="right"/>
              <w:rPr/>
            </w:pPr>
            <w:r>
              <w:rPr/>
              <w:t>818</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49" w:type="dxa"/>
            <w:tcBorders>
              <w:bottom w:val="single" w:sz="12" w:space="0" w:color="000000"/>
            </w:tcBorders>
            <w:vAlign w:val="bottom"/>
          </w:tcPr>
          <w:p>
            <w:pPr>
              <w:pStyle w:val="TableContents"/>
              <w:bidi w:val="0"/>
              <w:spacing w:before="0" w:after="283"/>
              <w:jc w:val="left"/>
              <w:rPr/>
            </w:pPr>
            <w:r>
              <w:rPr/>
              <w:t> </w:t>
            </w:r>
          </w:p>
        </w:tc>
        <w:tc>
          <w:tcPr>
            <w:tcW w:w="1176" w:type="dxa"/>
            <w:tcBorders>
              <w:bottom w:val="single" w:sz="12" w:space="0" w:color="000000"/>
            </w:tcBorders>
            <w:vAlign w:val="bottom"/>
          </w:tcPr>
          <w:p>
            <w:pPr>
              <w:pStyle w:val="TableContents"/>
              <w:bidi w:val="0"/>
              <w:spacing w:before="0" w:after="0"/>
              <w:jc w:val="right"/>
              <w:rPr/>
            </w:pPr>
            <w:r>
              <w:rPr/>
              <w:t>-</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51" w:type="dxa"/>
            <w:tcBorders>
              <w:bottom w:val="single" w:sz="12" w:space="0" w:color="000000"/>
            </w:tcBorders>
            <w:vAlign w:val="bottom"/>
          </w:tcPr>
          <w:p>
            <w:pPr>
              <w:pStyle w:val="TableContents"/>
              <w:bidi w:val="0"/>
              <w:spacing w:before="0" w:after="283"/>
              <w:jc w:val="left"/>
              <w:rPr/>
            </w:pPr>
            <w:r>
              <w:rPr/>
              <w:t> </w:t>
            </w:r>
          </w:p>
        </w:tc>
        <w:tc>
          <w:tcPr>
            <w:tcW w:w="2014" w:type="dxa"/>
            <w:tcBorders>
              <w:bottom w:val="single" w:sz="12" w:space="0" w:color="000000"/>
            </w:tcBorders>
            <w:vAlign w:val="bottom"/>
          </w:tcPr>
          <w:p>
            <w:pPr>
              <w:pStyle w:val="TableContents"/>
              <w:bidi w:val="0"/>
              <w:spacing w:before="0" w:after="0"/>
              <w:jc w:val="right"/>
              <w:rPr/>
            </w:pPr>
            <w:r>
              <w:rPr/>
              <w:t>818</w:t>
            </w:r>
          </w:p>
        </w:tc>
        <w:tc>
          <w:tcPr>
            <w:tcW w:w="9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01" w:type="dxa"/>
            <w:tcBorders>
              <w:bottom w:val="single" w:sz="12" w:space="0" w:color="000000"/>
            </w:tcBorders>
            <w:vAlign w:val="bottom"/>
          </w:tcPr>
          <w:p>
            <w:pPr>
              <w:pStyle w:val="TableContents"/>
              <w:bidi w:val="0"/>
              <w:spacing w:before="0" w:after="283"/>
              <w:jc w:val="left"/>
              <w:rPr/>
            </w:pPr>
            <w:r>
              <w:rPr/>
              <w:t> </w:t>
            </w:r>
          </w:p>
        </w:tc>
        <w:tc>
          <w:tcPr>
            <w:tcW w:w="2279" w:type="dxa"/>
            <w:tcBorders>
              <w:bottom w:val="single" w:sz="12" w:space="0" w:color="000000"/>
            </w:tcBorders>
            <w:vAlign w:val="bottom"/>
          </w:tcPr>
          <w:p>
            <w:pPr>
              <w:pStyle w:val="TableContents"/>
              <w:bidi w:val="0"/>
              <w:spacing w:before="0" w:after="0"/>
              <w:jc w:val="right"/>
              <w:rPr/>
            </w:pPr>
            <w:r>
              <w:rPr/>
              <w:t>-</w:t>
            </w:r>
          </w:p>
        </w:tc>
        <w:tc>
          <w:tcPr>
            <w:tcW w:w="155"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815" w:type="dxa"/>
            <w:tcBorders>
              <w:bottom w:val="single" w:sz="12" w:space="0" w:color="000000"/>
            </w:tcBorders>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1220" w:type="dxa"/>
            <w:tcBorders>
              <w:bottom w:val="single" w:sz="12" w:space="0" w:color="000000"/>
            </w:tcBorders>
            <w:vAlign w:val="bottom"/>
          </w:tcPr>
          <w:p>
            <w:pPr>
              <w:pStyle w:val="TableContents"/>
              <w:bidi w:val="0"/>
              <w:spacing w:before="0" w:after="0"/>
              <w:jc w:val="right"/>
              <w:rPr/>
            </w:pPr>
            <w:r>
              <w:rPr/>
              <w:t>818</w:t>
            </w:r>
          </w:p>
        </w:tc>
        <w:tc>
          <w:tcPr>
            <w:tcW w:w="95" w:type="dxa"/>
            <w:tcBorders/>
            <w:tcMar>
              <w:bottom w:w="0" w:type="dxa"/>
            </w:tcMar>
            <w:vAlign w:val="bottom"/>
          </w:tcPr>
          <w:p>
            <w:pPr>
              <w:pStyle w:val="TableContents"/>
              <w:bidi w:val="0"/>
              <w:spacing w:before="0" w:after="283"/>
              <w:jc w:val="left"/>
              <w:rPr/>
            </w:pPr>
            <w:r>
              <w:rPr/>
              <w:t> </w:t>
            </w:r>
          </w:p>
        </w:tc>
      </w:tr>
      <w:tr>
        <w:trPr/>
        <w:tc>
          <w:tcPr>
            <w:tcW w:w="7370" w:type="dxa"/>
            <w:tcBorders>
              <w:bottom w:val="single" w:sz="12" w:space="0" w:color="000000"/>
            </w:tcBorders>
            <w:shd w:fill="CCEEFF" w:val="clear"/>
            <w:vAlign w:val="bottom"/>
          </w:tcPr>
          <w:p>
            <w:pPr>
              <w:pStyle w:val="TableContents"/>
              <w:bidi w:val="0"/>
              <w:spacing w:before="0" w:after="0"/>
              <w:jc w:val="left"/>
              <w:rPr>
                <w:b/>
              </w:rPr>
            </w:pPr>
            <w:r>
              <w:rPr>
                <w:b/>
              </w:rPr>
              <w:t>Comprehensive income (loss) attributable to noncontrolling interest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50" w:type="dxa"/>
            <w:tcBorders>
              <w:bottom w:val="single" w:sz="12" w:space="0" w:color="000000"/>
            </w:tcBorders>
            <w:shd w:fill="CCEEFF" w:val="clear"/>
            <w:vAlign w:val="bottom"/>
          </w:tcPr>
          <w:p>
            <w:pPr>
              <w:pStyle w:val="TableContents"/>
              <w:bidi w:val="0"/>
              <w:spacing w:before="0" w:after="283"/>
              <w:jc w:val="left"/>
              <w:rPr/>
            </w:pPr>
            <w:r>
              <w:rPr/>
              <w:t> </w:t>
            </w:r>
          </w:p>
        </w:tc>
        <w:tc>
          <w:tcPr>
            <w:tcW w:w="2185" w:type="dxa"/>
            <w:tcBorders>
              <w:bottom w:val="single" w:sz="12" w:space="0" w:color="000000"/>
            </w:tcBorders>
            <w:shd w:fill="CCEEFF" w:val="clear"/>
            <w:vAlign w:val="bottom"/>
          </w:tcPr>
          <w:p>
            <w:pPr>
              <w:pStyle w:val="TableContents"/>
              <w:bidi w:val="0"/>
              <w:spacing w:before="0" w:after="0"/>
              <w:jc w:val="right"/>
              <w:rPr>
                <w:b/>
              </w:rPr>
            </w:pPr>
            <w:r>
              <w:rPr>
                <w:b/>
              </w:rPr>
              <w:t>5,671</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49" w:type="dxa"/>
            <w:tcBorders>
              <w:bottom w:val="single" w:sz="12" w:space="0" w:color="000000"/>
            </w:tcBorders>
            <w:shd w:fill="CCEEFF" w:val="clear"/>
            <w:vAlign w:val="bottom"/>
          </w:tcPr>
          <w:p>
            <w:pPr>
              <w:pStyle w:val="TableContents"/>
              <w:bidi w:val="0"/>
              <w:spacing w:before="0" w:after="283"/>
              <w:jc w:val="left"/>
              <w:rPr/>
            </w:pPr>
            <w:r>
              <w:rPr/>
              <w:t> </w:t>
            </w:r>
          </w:p>
        </w:tc>
        <w:tc>
          <w:tcPr>
            <w:tcW w:w="1176" w:type="dxa"/>
            <w:tcBorders>
              <w:bottom w:val="single" w:sz="12" w:space="0" w:color="000000"/>
            </w:tcBorders>
            <w:shd w:fill="CCEEFF" w:val="clear"/>
            <w:vAlign w:val="bottom"/>
          </w:tcPr>
          <w:p>
            <w:pPr>
              <w:pStyle w:val="TableContents"/>
              <w:bidi w:val="0"/>
              <w:spacing w:before="0" w:after="0"/>
              <w:jc w:val="right"/>
              <w:rPr>
                <w:b/>
              </w:rPr>
            </w:pPr>
            <w:r>
              <w:rPr>
                <w:b/>
              </w:rPr>
              <w:t>-</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51" w:type="dxa"/>
            <w:tcBorders>
              <w:bottom w:val="single" w:sz="12" w:space="0" w:color="000000"/>
            </w:tcBorders>
            <w:shd w:fill="CCEEFF" w:val="clear"/>
            <w:vAlign w:val="bottom"/>
          </w:tcPr>
          <w:p>
            <w:pPr>
              <w:pStyle w:val="TableContents"/>
              <w:bidi w:val="0"/>
              <w:spacing w:before="0" w:after="283"/>
              <w:jc w:val="left"/>
              <w:rPr/>
            </w:pPr>
            <w:r>
              <w:rPr/>
              <w:t> </w:t>
            </w:r>
          </w:p>
        </w:tc>
        <w:tc>
          <w:tcPr>
            <w:tcW w:w="2014" w:type="dxa"/>
            <w:tcBorders>
              <w:bottom w:val="single" w:sz="12" w:space="0" w:color="000000"/>
            </w:tcBorders>
            <w:shd w:fill="CCEEFF" w:val="clear"/>
            <w:vAlign w:val="bottom"/>
          </w:tcPr>
          <w:p>
            <w:pPr>
              <w:pStyle w:val="TableContents"/>
              <w:bidi w:val="0"/>
              <w:spacing w:before="0" w:after="0"/>
              <w:jc w:val="right"/>
              <w:rPr>
                <w:b/>
              </w:rPr>
            </w:pPr>
            <w:r>
              <w:rPr>
                <w:b/>
              </w:rPr>
              <w:t>5,671</w:t>
            </w:r>
          </w:p>
        </w:tc>
        <w:tc>
          <w:tcPr>
            <w:tcW w:w="9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vAlign w:val="bottom"/>
          </w:tcPr>
          <w:p>
            <w:pPr>
              <w:pStyle w:val="TableContents"/>
              <w:bidi w:val="0"/>
              <w:spacing w:before="0" w:after="283"/>
              <w:jc w:val="left"/>
              <w:rPr/>
            </w:pPr>
            <w:r>
              <w:rPr/>
              <w:t> </w:t>
            </w:r>
          </w:p>
        </w:tc>
        <w:tc>
          <w:tcPr>
            <w:tcW w:w="2279" w:type="dxa"/>
            <w:tcBorders>
              <w:bottom w:val="single" w:sz="12" w:space="0" w:color="000000"/>
            </w:tcBorders>
            <w:shd w:fill="CCEEFF" w:val="clear"/>
            <w:vAlign w:val="bottom"/>
          </w:tcPr>
          <w:p>
            <w:pPr>
              <w:pStyle w:val="TableContents"/>
              <w:bidi w:val="0"/>
              <w:spacing w:before="0" w:after="0"/>
              <w:jc w:val="right"/>
              <w:rPr>
                <w:b/>
              </w:rPr>
            </w:pPr>
            <w:r>
              <w:rPr>
                <w:b/>
              </w:rPr>
              <w:t>-</w:t>
            </w:r>
          </w:p>
        </w:tc>
        <w:tc>
          <w:tcPr>
            <w:tcW w:w="155"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815"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vAlign w:val="bottom"/>
          </w:tcPr>
          <w:p>
            <w:pPr>
              <w:pStyle w:val="TableContents"/>
              <w:bidi w:val="0"/>
              <w:spacing w:before="0" w:after="283"/>
              <w:jc w:val="left"/>
              <w:rPr/>
            </w:pPr>
            <w:r>
              <w:rPr/>
              <w:t> </w:t>
            </w:r>
          </w:p>
        </w:tc>
        <w:tc>
          <w:tcPr>
            <w:tcW w:w="1220" w:type="dxa"/>
            <w:tcBorders>
              <w:bottom w:val="single" w:sz="12" w:space="0" w:color="000000"/>
            </w:tcBorders>
            <w:shd w:fill="CCEEFF" w:val="clear"/>
            <w:vAlign w:val="bottom"/>
          </w:tcPr>
          <w:p>
            <w:pPr>
              <w:pStyle w:val="TableContents"/>
              <w:bidi w:val="0"/>
              <w:spacing w:before="0" w:after="0"/>
              <w:jc w:val="right"/>
              <w:rPr>
                <w:b/>
              </w:rPr>
            </w:pPr>
            <w:r>
              <w:rPr>
                <w:b/>
              </w:rPr>
              <w:t>5,671</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7370" w:type="dxa"/>
            <w:tcBorders>
              <w:bottom w:val="double" w:sz="8" w:space="0" w:color="000000"/>
            </w:tcBorders>
            <w:vAlign w:val="bottom"/>
          </w:tcPr>
          <w:p>
            <w:pPr>
              <w:pStyle w:val="TableContents"/>
              <w:bidi w:val="0"/>
              <w:spacing w:before="0" w:after="0"/>
              <w:jc w:val="left"/>
              <w:rPr>
                <w:b/>
              </w:rPr>
            </w:pPr>
            <w:r>
              <w:rPr>
                <w:b/>
              </w:rPr>
              <w:t>Comprehensive income (loss) attributable to common stockholders</w:t>
            </w:r>
          </w:p>
        </w:tc>
        <w:tc>
          <w:tcPr>
            <w:tcW w:w="60" w:type="dxa"/>
            <w:tcBorders>
              <w:bottom w:val="double" w:sz="8" w:space="0" w:color="000000"/>
            </w:tcBorders>
            <w:vAlign w:val="bottom"/>
          </w:tcPr>
          <w:p>
            <w:pPr>
              <w:pStyle w:val="TableContents"/>
              <w:bidi w:val="0"/>
              <w:spacing w:before="0" w:after="283"/>
              <w:jc w:val="left"/>
              <w:rPr/>
            </w:pPr>
            <w:r>
              <w:rPr/>
              <w:t> </w:t>
            </w:r>
          </w:p>
        </w:tc>
        <w:tc>
          <w:tcPr>
            <w:tcW w:w="250" w:type="dxa"/>
            <w:tcBorders>
              <w:bottom w:val="double" w:sz="8" w:space="0" w:color="000000"/>
            </w:tcBorders>
            <w:vAlign w:val="bottom"/>
          </w:tcPr>
          <w:p>
            <w:pPr>
              <w:pStyle w:val="TableContents"/>
              <w:bidi w:val="0"/>
              <w:spacing w:before="0" w:after="283"/>
              <w:jc w:val="left"/>
              <w:rPr/>
            </w:pPr>
            <w:r>
              <w:rPr/>
              <w:t> </w:t>
            </w:r>
          </w:p>
        </w:tc>
        <w:tc>
          <w:tcPr>
            <w:tcW w:w="2185" w:type="dxa"/>
            <w:tcBorders>
              <w:bottom w:val="double" w:sz="8" w:space="0" w:color="000000"/>
            </w:tcBorders>
            <w:vAlign w:val="bottom"/>
          </w:tcPr>
          <w:p>
            <w:pPr>
              <w:pStyle w:val="TableContents"/>
              <w:bidi w:val="0"/>
              <w:spacing w:before="0" w:after="0"/>
              <w:jc w:val="right"/>
              <w:rPr>
                <w:b/>
              </w:rPr>
            </w:pPr>
            <w:r>
              <w:rPr>
                <w:b/>
              </w:rPr>
              <w:t>6,845</w:t>
            </w:r>
          </w:p>
        </w:tc>
        <w:tc>
          <w:tcPr>
            <w:tcW w:w="95" w:type="dxa"/>
            <w:tcBorders>
              <w:bottom w:val="double" w:sz="8" w:space="0" w:color="000000"/>
            </w:tcBorders>
            <w:vAlign w:val="bottom"/>
          </w:tcPr>
          <w:p>
            <w:pPr>
              <w:pStyle w:val="TableContents"/>
              <w:bidi w:val="0"/>
              <w:spacing w:before="0" w:after="283"/>
              <w:jc w:val="left"/>
              <w:rPr/>
            </w:pPr>
            <w:r>
              <w:rPr/>
              <w:t> </w:t>
            </w:r>
          </w:p>
        </w:tc>
        <w:tc>
          <w:tcPr>
            <w:tcW w:w="60" w:type="dxa"/>
            <w:tcBorders>
              <w:bottom w:val="double" w:sz="8" w:space="0" w:color="000000"/>
            </w:tcBorders>
            <w:vAlign w:val="bottom"/>
          </w:tcPr>
          <w:p>
            <w:pPr>
              <w:pStyle w:val="TableContents"/>
              <w:bidi w:val="0"/>
              <w:spacing w:before="0" w:after="283"/>
              <w:jc w:val="left"/>
              <w:rPr/>
            </w:pPr>
            <w:r>
              <w:rPr/>
              <w:t> </w:t>
            </w:r>
          </w:p>
        </w:tc>
        <w:tc>
          <w:tcPr>
            <w:tcW w:w="149" w:type="dxa"/>
            <w:tcBorders>
              <w:bottom w:val="double" w:sz="8" w:space="0" w:color="000000"/>
            </w:tcBorders>
            <w:vAlign w:val="bottom"/>
          </w:tcPr>
          <w:p>
            <w:pPr>
              <w:pStyle w:val="TableContents"/>
              <w:bidi w:val="0"/>
              <w:spacing w:before="0" w:after="283"/>
              <w:jc w:val="left"/>
              <w:rPr/>
            </w:pPr>
            <w:r>
              <w:rPr/>
              <w:t> </w:t>
            </w:r>
          </w:p>
        </w:tc>
        <w:tc>
          <w:tcPr>
            <w:tcW w:w="1176" w:type="dxa"/>
            <w:tcBorders>
              <w:bottom w:val="double" w:sz="8" w:space="0" w:color="000000"/>
            </w:tcBorders>
            <w:vAlign w:val="bottom"/>
          </w:tcPr>
          <w:p>
            <w:pPr>
              <w:pStyle w:val="TableContents"/>
              <w:bidi w:val="0"/>
              <w:spacing w:before="0" w:after="0"/>
              <w:jc w:val="right"/>
              <w:rPr>
                <w:b/>
              </w:rPr>
            </w:pPr>
            <w:r>
              <w:rPr>
                <w:b/>
              </w:rPr>
              <w:t>(25,161</w:t>
            </w:r>
          </w:p>
        </w:tc>
        <w:tc>
          <w:tcPr>
            <w:tcW w:w="95" w:type="dxa"/>
            <w:tcBorders>
              <w:bottom w:val="double" w:sz="8" w:space="0" w:color="000000"/>
            </w:tcBorders>
            <w:vAlign w:val="bottom"/>
          </w:tcPr>
          <w:p>
            <w:pPr>
              <w:pStyle w:val="TableContents"/>
              <w:bidi w:val="0"/>
              <w:spacing w:before="0" w:after="0"/>
              <w:jc w:val="left"/>
              <w:rPr>
                <w:b/>
              </w:rPr>
            </w:pPr>
            <w:r>
              <w:rPr>
                <w:b/>
              </w:rPr>
              <w:t>)</w:t>
            </w:r>
          </w:p>
        </w:tc>
        <w:tc>
          <w:tcPr>
            <w:tcW w:w="60" w:type="dxa"/>
            <w:tcBorders>
              <w:bottom w:val="double" w:sz="8" w:space="0" w:color="000000"/>
            </w:tcBorders>
            <w:vAlign w:val="bottom"/>
          </w:tcPr>
          <w:p>
            <w:pPr>
              <w:pStyle w:val="TableContents"/>
              <w:bidi w:val="0"/>
              <w:spacing w:before="0" w:after="283"/>
              <w:jc w:val="left"/>
              <w:rPr/>
            </w:pPr>
            <w:r>
              <w:rPr/>
              <w:t> </w:t>
            </w:r>
          </w:p>
        </w:tc>
        <w:tc>
          <w:tcPr>
            <w:tcW w:w="151" w:type="dxa"/>
            <w:tcBorders>
              <w:bottom w:val="double" w:sz="8" w:space="0" w:color="000000"/>
            </w:tcBorders>
            <w:vAlign w:val="bottom"/>
          </w:tcPr>
          <w:p>
            <w:pPr>
              <w:pStyle w:val="TableContents"/>
              <w:bidi w:val="0"/>
              <w:spacing w:before="0" w:after="283"/>
              <w:jc w:val="left"/>
              <w:rPr/>
            </w:pPr>
            <w:r>
              <w:rPr/>
              <w:t> </w:t>
            </w:r>
          </w:p>
        </w:tc>
        <w:tc>
          <w:tcPr>
            <w:tcW w:w="2014" w:type="dxa"/>
            <w:tcBorders>
              <w:bottom w:val="double" w:sz="8" w:space="0" w:color="000000"/>
            </w:tcBorders>
            <w:vAlign w:val="bottom"/>
          </w:tcPr>
          <w:p>
            <w:pPr>
              <w:pStyle w:val="TableContents"/>
              <w:bidi w:val="0"/>
              <w:spacing w:before="0" w:after="0"/>
              <w:jc w:val="right"/>
              <w:rPr>
                <w:b/>
              </w:rPr>
            </w:pPr>
            <w:r>
              <w:rPr>
                <w:b/>
              </w:rPr>
              <w:t>(18,316</w:t>
            </w:r>
          </w:p>
        </w:tc>
        <w:tc>
          <w:tcPr>
            <w:tcW w:w="95" w:type="dxa"/>
            <w:tcBorders>
              <w:bottom w:val="double" w:sz="8" w:space="0" w:color="000000"/>
            </w:tcBorders>
            <w:vAlign w:val="bottom"/>
          </w:tcPr>
          <w:p>
            <w:pPr>
              <w:pStyle w:val="TableContents"/>
              <w:bidi w:val="0"/>
              <w:spacing w:before="0" w:after="0"/>
              <w:jc w:val="left"/>
              <w:rPr>
                <w:b/>
              </w:rPr>
            </w:pPr>
            <w:r>
              <w:rPr>
                <w:b/>
              </w:rPr>
              <w:t>)</w:t>
            </w:r>
          </w:p>
        </w:tc>
        <w:tc>
          <w:tcPr>
            <w:tcW w:w="60" w:type="dxa"/>
            <w:tcBorders>
              <w:bottom w:val="double" w:sz="8" w:space="0" w:color="000000"/>
            </w:tcBorders>
            <w:vAlign w:val="bottom"/>
          </w:tcPr>
          <w:p>
            <w:pPr>
              <w:pStyle w:val="TableContents"/>
              <w:bidi w:val="0"/>
              <w:spacing w:before="0" w:after="283"/>
              <w:jc w:val="left"/>
              <w:rPr/>
            </w:pPr>
            <w:r>
              <w:rPr/>
              <w:t> </w:t>
            </w:r>
          </w:p>
        </w:tc>
        <w:tc>
          <w:tcPr>
            <w:tcW w:w="201" w:type="dxa"/>
            <w:tcBorders>
              <w:bottom w:val="double" w:sz="8" w:space="0" w:color="000000"/>
            </w:tcBorders>
            <w:vAlign w:val="bottom"/>
          </w:tcPr>
          <w:p>
            <w:pPr>
              <w:pStyle w:val="TableContents"/>
              <w:bidi w:val="0"/>
              <w:spacing w:before="0" w:after="283"/>
              <w:jc w:val="left"/>
              <w:rPr/>
            </w:pPr>
            <w:r>
              <w:rPr/>
              <w:t> </w:t>
            </w:r>
          </w:p>
        </w:tc>
        <w:tc>
          <w:tcPr>
            <w:tcW w:w="2279" w:type="dxa"/>
            <w:tcBorders>
              <w:bottom w:val="double" w:sz="8" w:space="0" w:color="000000"/>
            </w:tcBorders>
            <w:vAlign w:val="bottom"/>
          </w:tcPr>
          <w:p>
            <w:pPr>
              <w:pStyle w:val="TableContents"/>
              <w:bidi w:val="0"/>
              <w:spacing w:before="0" w:after="0"/>
              <w:jc w:val="right"/>
              <w:rPr>
                <w:b/>
              </w:rPr>
            </w:pPr>
            <w:r>
              <w:rPr>
                <w:b/>
              </w:rPr>
              <w:t>14,499</w:t>
            </w:r>
          </w:p>
        </w:tc>
        <w:tc>
          <w:tcPr>
            <w:tcW w:w="155" w:type="dxa"/>
            <w:tcBorders>
              <w:bottom w:val="double" w:sz="8" w:space="0" w:color="000000"/>
            </w:tcBorders>
            <w:vAlign w:val="bottom"/>
          </w:tcPr>
          <w:p>
            <w:pPr>
              <w:pStyle w:val="TableContents"/>
              <w:bidi w:val="0"/>
              <w:spacing w:before="0" w:after="283"/>
              <w:jc w:val="left"/>
              <w:rPr/>
            </w:pPr>
            <w:r>
              <w:rPr/>
              <w:t> </w:t>
            </w:r>
          </w:p>
        </w:tc>
        <w:tc>
          <w:tcPr>
            <w:tcW w:w="60" w:type="dxa"/>
            <w:tcBorders>
              <w:bottom w:val="double" w:sz="8" w:space="0" w:color="000000"/>
            </w:tcBorders>
            <w:vAlign w:val="bottom"/>
          </w:tcPr>
          <w:p>
            <w:pPr>
              <w:pStyle w:val="TableContents"/>
              <w:bidi w:val="0"/>
              <w:spacing w:before="0" w:after="283"/>
              <w:jc w:val="left"/>
              <w:rPr/>
            </w:pPr>
            <w:r>
              <w:rPr/>
              <w:t> </w:t>
            </w:r>
          </w:p>
        </w:tc>
        <w:tc>
          <w:tcPr>
            <w:tcW w:w="60" w:type="dxa"/>
            <w:tcBorders>
              <w:bottom w:val="double" w:sz="8" w:space="0" w:color="000000"/>
            </w:tcBorders>
            <w:vAlign w:val="bottom"/>
          </w:tcPr>
          <w:p>
            <w:pPr>
              <w:pStyle w:val="TableContents"/>
              <w:bidi w:val="0"/>
              <w:spacing w:before="0" w:after="283"/>
              <w:jc w:val="left"/>
              <w:rPr/>
            </w:pPr>
            <w:r>
              <w:rPr/>
              <w:t> </w:t>
            </w:r>
          </w:p>
        </w:tc>
        <w:tc>
          <w:tcPr>
            <w:tcW w:w="815" w:type="dxa"/>
            <w:tcBorders>
              <w:bottom w:val="double" w:sz="8" w:space="0" w:color="000000"/>
            </w:tcBorders>
            <w:vAlign w:val="bottom"/>
          </w:tcPr>
          <w:p>
            <w:pPr>
              <w:pStyle w:val="TableContents"/>
              <w:bidi w:val="0"/>
              <w:spacing w:before="0" w:after="0"/>
              <w:jc w:val="center"/>
              <w:rPr>
                <w:b/>
              </w:rPr>
            </w:pPr>
            <w:r>
              <w:rPr>
                <w:b/>
              </w:rPr>
            </w:r>
          </w:p>
        </w:tc>
        <w:tc>
          <w:tcPr>
            <w:tcW w:w="60" w:type="dxa"/>
            <w:tcBorders>
              <w:bottom w:val="double" w:sz="8" w:space="0" w:color="000000"/>
            </w:tcBorders>
            <w:vAlign w:val="bottom"/>
          </w:tcPr>
          <w:p>
            <w:pPr>
              <w:pStyle w:val="TableContents"/>
              <w:bidi w:val="0"/>
              <w:spacing w:before="0" w:after="0"/>
              <w:jc w:val="left"/>
              <w:rPr>
                <w:b/>
              </w:rPr>
            </w:pPr>
            <w:r>
              <w:rPr>
                <w:b/>
              </w:rPr>
            </w:r>
          </w:p>
        </w:tc>
        <w:tc>
          <w:tcPr>
            <w:tcW w:w="60" w:type="dxa"/>
            <w:tcBorders>
              <w:bottom w:val="double" w:sz="8" w:space="0" w:color="000000"/>
            </w:tcBorders>
            <w:vAlign w:val="bottom"/>
          </w:tcPr>
          <w:p>
            <w:pPr>
              <w:pStyle w:val="TableContents"/>
              <w:bidi w:val="0"/>
              <w:spacing w:before="0" w:after="283"/>
              <w:jc w:val="left"/>
              <w:rPr/>
            </w:pPr>
            <w:r>
              <w:rPr/>
              <w:t> </w:t>
            </w:r>
          </w:p>
        </w:tc>
        <w:tc>
          <w:tcPr>
            <w:tcW w:w="140" w:type="dxa"/>
            <w:tcBorders>
              <w:bottom w:val="double" w:sz="8" w:space="0" w:color="000000"/>
            </w:tcBorders>
            <w:vAlign w:val="bottom"/>
          </w:tcPr>
          <w:p>
            <w:pPr>
              <w:pStyle w:val="TableContents"/>
              <w:bidi w:val="0"/>
              <w:spacing w:before="0" w:after="283"/>
              <w:jc w:val="left"/>
              <w:rPr/>
            </w:pPr>
            <w:r>
              <w:rPr/>
              <w:t> </w:t>
            </w:r>
          </w:p>
        </w:tc>
        <w:tc>
          <w:tcPr>
            <w:tcW w:w="1220" w:type="dxa"/>
            <w:tcBorders>
              <w:bottom w:val="double" w:sz="8" w:space="0" w:color="000000"/>
            </w:tcBorders>
            <w:vAlign w:val="bottom"/>
          </w:tcPr>
          <w:p>
            <w:pPr>
              <w:pStyle w:val="TableContents"/>
              <w:bidi w:val="0"/>
              <w:spacing w:before="0" w:after="0"/>
              <w:jc w:val="right"/>
              <w:rPr>
                <w:b/>
              </w:rPr>
            </w:pPr>
            <w:r>
              <w:rPr>
                <w:b/>
              </w:rPr>
              <w:t>(3,817</w:t>
            </w:r>
          </w:p>
        </w:tc>
        <w:tc>
          <w:tcPr>
            <w:tcW w:w="95" w:type="dxa"/>
            <w:tcBorders/>
            <w:tcMar>
              <w:bottom w:w="0" w:type="dxa"/>
            </w:tcMar>
            <w:vAlign w:val="bottom"/>
          </w:tcPr>
          <w:p>
            <w:pPr>
              <w:pStyle w:val="TableContents"/>
              <w:bidi w:val="0"/>
              <w:spacing w:before="0" w:after="0"/>
              <w:jc w:val="left"/>
              <w:rPr>
                <w:b/>
              </w:rPr>
            </w:pPr>
            <w:r>
              <w:rPr>
                <w:b/>
              </w:rPr>
              <w:t>)</w:t>
            </w:r>
          </w:p>
        </w:tc>
      </w:tr>
    </w:tbl>
    <w:p>
      <w:pPr>
        <w:pStyle w:val="TextBody"/>
        <w:bidi w:val="0"/>
        <w:spacing w:before="0" w:after="0"/>
        <w:jc w:val="center"/>
        <w:rPr>
          <w:i/>
        </w:rPr>
      </w:pPr>
      <w:r>
        <w:rPr>
          <w:i/>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See accompanying notes to the unaudited pro forma condensed combined financial information.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 Pro Forma Condensed Combined Statement of Operations</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For the Year Ended December 31, 2024</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(U.S. dollars in thousands, except share and per share data)</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9" w:name="z268c1c0b9f444dc58fe6103e2277262d"/>
      <w:bookmarkStart w:id="200" w:name="z268c1c0b9f444dc58fe6103e2277262d"/>
      <w:bookmarkEnd w:id="200"/>
    </w:p>
    <w:tbl>
      <w:tblPr>
        <w:tblW w:w="15875" w:type="dxa"/>
        <w:jc w:val="left"/>
        <w:tblInd w:w="0" w:type="dxa"/>
        <w:tblLayout w:type="fixed"/>
        <w:tblCellMar>
          <w:top w:w="0" w:type="dxa"/>
          <w:left w:w="0" w:type="dxa"/>
          <w:bottom w:w="28" w:type="dxa"/>
          <w:right w:w="0" w:type="dxa"/>
        </w:tblCellMar>
      </w:tblPr>
      <w:tblGrid>
        <w:gridCol w:w="6470"/>
        <w:gridCol w:w="60"/>
        <w:gridCol w:w="213"/>
        <w:gridCol w:w="1802"/>
        <w:gridCol w:w="80"/>
        <w:gridCol w:w="60"/>
        <w:gridCol w:w="125"/>
        <w:gridCol w:w="950"/>
        <w:gridCol w:w="80"/>
        <w:gridCol w:w="60"/>
        <w:gridCol w:w="142"/>
        <w:gridCol w:w="1648"/>
        <w:gridCol w:w="80"/>
        <w:gridCol w:w="60"/>
        <w:gridCol w:w="226"/>
        <w:gridCol w:w="1834"/>
        <w:gridCol w:w="60"/>
        <w:gridCol w:w="60"/>
        <w:gridCol w:w="102"/>
        <w:gridCol w:w="368"/>
        <w:gridCol w:w="60"/>
        <w:gridCol w:w="60"/>
        <w:gridCol w:w="125"/>
        <w:gridCol w:w="1055"/>
        <w:gridCol w:w="95"/>
      </w:tblGrid>
      <w:tr>
        <w:trPr/>
        <w:tc>
          <w:tcPr>
            <w:tcW w:w="647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015"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Gyre Therapeutics, Inc.</w:t>
            </w:r>
          </w:p>
          <w:p>
            <w:pPr>
              <w:pStyle w:val="TableContents"/>
              <w:bidi w:val="0"/>
              <w:spacing w:before="0" w:after="0"/>
              <w:jc w:val="center"/>
              <w:rPr>
                <w:rFonts w:ascii="Times New Roman" w:hAnsi="Times New Roman"/>
                <w:b/>
                <w:sz w:val="20"/>
              </w:rPr>
            </w:pPr>
            <w:r>
              <w:rPr>
                <w:rFonts w:ascii="Times New Roman" w:hAnsi="Times New Roman"/>
                <w:b/>
                <w:sz w:val="20"/>
              </w:rPr>
              <w:t>(Historical)</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075"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Cullgen, Inc.</w:t>
            </w:r>
          </w:p>
          <w:p>
            <w:pPr>
              <w:pStyle w:val="TableContents"/>
              <w:bidi w:val="0"/>
              <w:spacing w:before="0" w:after="0"/>
              <w:jc w:val="center"/>
              <w:rPr>
                <w:rFonts w:ascii="Times New Roman" w:hAnsi="Times New Roman"/>
                <w:b/>
                <w:sz w:val="20"/>
              </w:rPr>
            </w:pPr>
            <w:r>
              <w:rPr>
                <w:rFonts w:ascii="Times New Roman" w:hAnsi="Times New Roman"/>
                <w:b/>
                <w:sz w:val="20"/>
              </w:rPr>
              <w:t>(Historical)</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790"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Historical Combined</w:t>
            </w:r>
          </w:p>
          <w:p>
            <w:pPr>
              <w:pStyle w:val="TableContents"/>
              <w:bidi w:val="0"/>
              <w:spacing w:before="0" w:after="0"/>
              <w:jc w:val="center"/>
              <w:rPr>
                <w:rFonts w:ascii="Times New Roman" w:hAnsi="Times New Roman"/>
                <w:b/>
                <w:sz w:val="20"/>
              </w:rPr>
            </w:pPr>
            <w:r>
              <w:rPr>
                <w:rFonts w:ascii="Times New Roman" w:hAnsi="Times New Roman"/>
                <w:b/>
                <w:sz w:val="20"/>
              </w:rPr>
              <w:t>Prior to Adjustments</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2060"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Transaction Accounting</w:t>
            </w:r>
          </w:p>
          <w:p>
            <w:pPr>
              <w:pStyle w:val="TableContents"/>
              <w:bidi w:val="0"/>
              <w:spacing w:before="0" w:after="0"/>
              <w:jc w:val="center"/>
              <w:rPr>
                <w:rFonts w:ascii="Times New Roman" w:hAnsi="Times New Roman"/>
                <w:b/>
                <w:sz w:val="20"/>
              </w:rPr>
            </w:pPr>
            <w:r>
              <w:rPr>
                <w:rFonts w:ascii="Times New Roman" w:hAnsi="Times New Roman"/>
                <w:b/>
                <w:sz w:val="20"/>
              </w:rPr>
              <w:t>Adjustments</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470"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Note</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1180"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Pro Forma</w:t>
            </w:r>
          </w:p>
          <w:p>
            <w:pPr>
              <w:pStyle w:val="TableContents"/>
              <w:bidi w:val="0"/>
              <w:spacing w:before="0" w:after="0"/>
              <w:jc w:val="center"/>
              <w:rPr>
                <w:rFonts w:ascii="Times New Roman" w:hAnsi="Times New Roman"/>
                <w:b/>
                <w:sz w:val="20"/>
              </w:rPr>
            </w:pPr>
            <w:r>
              <w:rPr>
                <w:rFonts w:ascii="Times New Roman" w:hAnsi="Times New Roman"/>
                <w:b/>
                <w:sz w:val="20"/>
              </w:rPr>
              <w:t>Combined</w:t>
            </w:r>
          </w:p>
        </w:tc>
        <w:tc>
          <w:tcPr>
            <w:tcW w:w="95" w:type="dxa"/>
            <w:tcBorders/>
            <w:tcMar>
              <w:bottom w:w="0" w:type="dxa"/>
            </w:tcMar>
            <w:vAlign w:val="bottom"/>
          </w:tcPr>
          <w:p>
            <w:pPr>
              <w:pStyle w:val="TableContents"/>
              <w:bidi w:val="0"/>
              <w:spacing w:before="0" w:after="283"/>
              <w:jc w:val="left"/>
              <w:rPr/>
            </w:pPr>
            <w:r>
              <w:rPr/>
              <w:t> </w:t>
            </w:r>
          </w:p>
        </w:tc>
      </w:tr>
      <w:tr>
        <w:trPr/>
        <w:tc>
          <w:tcPr>
            <w:tcW w:w="647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13" w:type="dxa"/>
            <w:tcBorders/>
            <w:shd w:fill="CCEEFF" w:val="clear"/>
            <w:tcMar>
              <w:bottom w:w="0" w:type="dxa"/>
            </w:tcMar>
            <w:vAlign w:val="bottom"/>
          </w:tcPr>
          <w:p>
            <w:pPr>
              <w:pStyle w:val="TableContents"/>
              <w:bidi w:val="0"/>
              <w:spacing w:before="0" w:after="283"/>
              <w:jc w:val="left"/>
              <w:rPr/>
            </w:pPr>
            <w:r>
              <w:rPr/>
              <w:t> </w:t>
            </w:r>
          </w:p>
        </w:tc>
        <w:tc>
          <w:tcPr>
            <w:tcW w:w="1802"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105,757</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5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23,914</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2" w:type="dxa"/>
            <w:tcBorders/>
            <w:shd w:fill="CCEEFF" w:val="clear"/>
            <w:tcMar>
              <w:bottom w:w="0" w:type="dxa"/>
            </w:tcMar>
            <w:vAlign w:val="bottom"/>
          </w:tcPr>
          <w:p>
            <w:pPr>
              <w:pStyle w:val="TableContents"/>
              <w:bidi w:val="0"/>
              <w:spacing w:before="0" w:after="283"/>
              <w:jc w:val="left"/>
              <w:rPr/>
            </w:pPr>
            <w:r>
              <w:rPr/>
              <w:t> </w:t>
            </w:r>
          </w:p>
        </w:tc>
        <w:tc>
          <w:tcPr>
            <w:tcW w:w="1648"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129,671</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470" w:type="dxa"/>
            <w:gridSpan w:val="2"/>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129,671</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470" w:type="dxa"/>
            <w:tcBorders/>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60" w:type="dxa"/>
            <w:tcBorders/>
            <w:tcMar>
              <w:bottom w:w="0" w:type="dxa"/>
            </w:tcMar>
            <w:vAlign w:val="bottom"/>
          </w:tcPr>
          <w:p>
            <w:pPr>
              <w:pStyle w:val="TableContents"/>
              <w:bidi w:val="0"/>
              <w:spacing w:before="0" w:after="283"/>
              <w:jc w:val="right"/>
              <w:rPr/>
            </w:pPr>
            <w:r>
              <w:rPr/>
              <w:t> </w:t>
            </w:r>
          </w:p>
        </w:tc>
        <w:tc>
          <w:tcPr>
            <w:tcW w:w="213" w:type="dxa"/>
            <w:tcBorders/>
            <w:tcMar>
              <w:bottom w:w="0" w:type="dxa"/>
            </w:tcMar>
            <w:vAlign w:val="bottom"/>
          </w:tcPr>
          <w:p>
            <w:pPr>
              <w:pStyle w:val="TableContents"/>
              <w:bidi w:val="0"/>
              <w:spacing w:before="0" w:after="283"/>
              <w:jc w:val="left"/>
              <w:rPr/>
            </w:pPr>
            <w:r>
              <w:rPr/>
              <w:t> </w:t>
            </w:r>
          </w:p>
        </w:tc>
        <w:tc>
          <w:tcPr>
            <w:tcW w:w="1802"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50"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2" w:type="dxa"/>
            <w:tcBorders/>
            <w:tcMar>
              <w:bottom w:w="0" w:type="dxa"/>
            </w:tcMar>
            <w:vAlign w:val="bottom"/>
          </w:tcPr>
          <w:p>
            <w:pPr>
              <w:pStyle w:val="TableContents"/>
              <w:bidi w:val="0"/>
              <w:spacing w:before="0" w:after="283"/>
              <w:jc w:val="left"/>
              <w:rPr/>
            </w:pPr>
            <w:r>
              <w:rPr/>
              <w:t> </w:t>
            </w:r>
          </w:p>
        </w:tc>
        <w:tc>
          <w:tcPr>
            <w:tcW w:w="1648"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26" w:type="dxa"/>
            <w:tcBorders/>
            <w:tcMar>
              <w:bottom w:w="0" w:type="dxa"/>
            </w:tcMar>
            <w:vAlign w:val="bottom"/>
          </w:tcPr>
          <w:p>
            <w:pPr>
              <w:pStyle w:val="TableContents"/>
              <w:bidi w:val="0"/>
              <w:spacing w:before="0" w:after="283"/>
              <w:jc w:val="left"/>
              <w:rPr/>
            </w:pPr>
            <w:r>
              <w:rPr/>
              <w:t> </w:t>
            </w:r>
          </w:p>
        </w:tc>
        <w:tc>
          <w:tcPr>
            <w:tcW w:w="1834"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470"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r>
      <w:tr>
        <w:trPr/>
        <w:tc>
          <w:tcPr>
            <w:tcW w:w="647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13" w:type="dxa"/>
            <w:tcBorders/>
            <w:shd w:fill="CCEEFF" w:val="clear"/>
            <w:tcMar>
              <w:bottom w:w="0" w:type="dxa"/>
            </w:tcMar>
            <w:vAlign w:val="bottom"/>
          </w:tcPr>
          <w:p>
            <w:pPr>
              <w:pStyle w:val="TableContents"/>
              <w:bidi w:val="0"/>
              <w:spacing w:before="0" w:after="283"/>
              <w:jc w:val="left"/>
              <w:rPr/>
            </w:pPr>
            <w:r>
              <w:rPr/>
              <w:t> </w:t>
            </w:r>
          </w:p>
        </w:tc>
        <w:tc>
          <w:tcPr>
            <w:tcW w:w="1802"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3,884</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5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2" w:type="dxa"/>
            <w:tcBorders/>
            <w:shd w:fill="CCEEFF" w:val="clear"/>
            <w:tcMar>
              <w:bottom w:w="0" w:type="dxa"/>
            </w:tcMar>
            <w:vAlign w:val="bottom"/>
          </w:tcPr>
          <w:p>
            <w:pPr>
              <w:pStyle w:val="TableContents"/>
              <w:bidi w:val="0"/>
              <w:spacing w:before="0" w:after="283"/>
              <w:jc w:val="left"/>
              <w:rPr/>
            </w:pPr>
            <w:r>
              <w:rPr/>
              <w:t> </w:t>
            </w:r>
          </w:p>
        </w:tc>
        <w:tc>
          <w:tcPr>
            <w:tcW w:w="1648"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3,884</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470" w:type="dxa"/>
            <w:gridSpan w:val="2"/>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3,884</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47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60" w:type="dxa"/>
            <w:tcBorders/>
            <w:tcMar>
              <w:bottom w:w="0" w:type="dxa"/>
            </w:tcMar>
            <w:vAlign w:val="bottom"/>
          </w:tcPr>
          <w:p>
            <w:pPr>
              <w:pStyle w:val="TableContents"/>
              <w:bidi w:val="0"/>
              <w:spacing w:before="0" w:after="283"/>
              <w:jc w:val="right"/>
              <w:rPr/>
            </w:pPr>
            <w:r>
              <w:rPr/>
              <w:t> </w:t>
            </w:r>
          </w:p>
        </w:tc>
        <w:tc>
          <w:tcPr>
            <w:tcW w:w="213" w:type="dxa"/>
            <w:tcBorders/>
            <w:tcMar>
              <w:bottom w:w="0" w:type="dxa"/>
            </w:tcMar>
            <w:vAlign w:val="bottom"/>
          </w:tcPr>
          <w:p>
            <w:pPr>
              <w:pStyle w:val="TableContents"/>
              <w:bidi w:val="0"/>
              <w:spacing w:before="0" w:after="283"/>
              <w:jc w:val="left"/>
              <w:rPr/>
            </w:pPr>
            <w:r>
              <w:rPr/>
              <w:t> </w:t>
            </w:r>
          </w:p>
        </w:tc>
        <w:tc>
          <w:tcPr>
            <w:tcW w:w="1802"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57,511</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5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2" w:type="dxa"/>
            <w:tcBorders/>
            <w:tcMar>
              <w:bottom w:w="0" w:type="dxa"/>
            </w:tcMar>
            <w:vAlign w:val="bottom"/>
          </w:tcPr>
          <w:p>
            <w:pPr>
              <w:pStyle w:val="TableContents"/>
              <w:bidi w:val="0"/>
              <w:spacing w:before="0" w:after="283"/>
              <w:jc w:val="left"/>
              <w:rPr/>
            </w:pPr>
            <w:r>
              <w:rPr/>
              <w:t> </w:t>
            </w:r>
          </w:p>
        </w:tc>
        <w:tc>
          <w:tcPr>
            <w:tcW w:w="1648"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57,511</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26" w:type="dxa"/>
            <w:tcBorders/>
            <w:tcMar>
              <w:bottom w:w="0" w:type="dxa"/>
            </w:tcMar>
            <w:vAlign w:val="bottom"/>
          </w:tcPr>
          <w:p>
            <w:pPr>
              <w:pStyle w:val="TableContents"/>
              <w:bidi w:val="0"/>
              <w:spacing w:before="0" w:after="283"/>
              <w:jc w:val="left"/>
              <w:rPr/>
            </w:pPr>
            <w:r>
              <w:rPr/>
              <w:t> </w:t>
            </w:r>
          </w:p>
        </w:tc>
        <w:tc>
          <w:tcPr>
            <w:tcW w:w="1834"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470"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57,511</w:t>
            </w:r>
          </w:p>
        </w:tc>
        <w:tc>
          <w:tcPr>
            <w:tcW w:w="95" w:type="dxa"/>
            <w:tcBorders/>
            <w:tcMar>
              <w:bottom w:w="0" w:type="dxa"/>
            </w:tcMar>
            <w:vAlign w:val="bottom"/>
          </w:tcPr>
          <w:p>
            <w:pPr>
              <w:pStyle w:val="TableContents"/>
              <w:bidi w:val="0"/>
              <w:spacing w:before="0" w:after="283"/>
              <w:jc w:val="left"/>
              <w:rPr/>
            </w:pPr>
            <w:r>
              <w:rPr/>
              <w:t> </w:t>
            </w:r>
          </w:p>
        </w:tc>
      </w:tr>
      <w:tr>
        <w:trPr/>
        <w:tc>
          <w:tcPr>
            <w:tcW w:w="647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13" w:type="dxa"/>
            <w:tcBorders/>
            <w:shd w:fill="CCEEFF" w:val="clear"/>
            <w:tcMar>
              <w:bottom w:w="0" w:type="dxa"/>
            </w:tcMar>
            <w:vAlign w:val="bottom"/>
          </w:tcPr>
          <w:p>
            <w:pPr>
              <w:pStyle w:val="TableContents"/>
              <w:bidi w:val="0"/>
              <w:spacing w:before="0" w:after="283"/>
              <w:jc w:val="left"/>
              <w:rPr/>
            </w:pPr>
            <w:r>
              <w:rPr/>
              <w:t> </w:t>
            </w:r>
          </w:p>
        </w:tc>
        <w:tc>
          <w:tcPr>
            <w:tcW w:w="1802"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12,024</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5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19,743</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2" w:type="dxa"/>
            <w:tcBorders/>
            <w:shd w:fill="CCEEFF" w:val="clear"/>
            <w:tcMar>
              <w:bottom w:w="0" w:type="dxa"/>
            </w:tcMar>
            <w:vAlign w:val="bottom"/>
          </w:tcPr>
          <w:p>
            <w:pPr>
              <w:pStyle w:val="TableContents"/>
              <w:bidi w:val="0"/>
              <w:spacing w:before="0" w:after="283"/>
              <w:jc w:val="left"/>
              <w:rPr/>
            </w:pPr>
            <w:r>
              <w:rPr/>
              <w:t> </w:t>
            </w:r>
          </w:p>
        </w:tc>
        <w:tc>
          <w:tcPr>
            <w:tcW w:w="1648"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31,767</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470" w:type="dxa"/>
            <w:gridSpan w:val="2"/>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31,767</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47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60" w:type="dxa"/>
            <w:tcBorders/>
            <w:tcMar>
              <w:bottom w:w="0" w:type="dxa"/>
            </w:tcMar>
            <w:vAlign w:val="bottom"/>
          </w:tcPr>
          <w:p>
            <w:pPr>
              <w:pStyle w:val="TableContents"/>
              <w:bidi w:val="0"/>
              <w:spacing w:before="0" w:after="283"/>
              <w:jc w:val="right"/>
              <w:rPr/>
            </w:pPr>
            <w:r>
              <w:rPr/>
              <w:t> </w:t>
            </w:r>
          </w:p>
        </w:tc>
        <w:tc>
          <w:tcPr>
            <w:tcW w:w="213" w:type="dxa"/>
            <w:tcBorders/>
            <w:tcMar>
              <w:bottom w:w="0" w:type="dxa"/>
            </w:tcMar>
            <w:vAlign w:val="bottom"/>
          </w:tcPr>
          <w:p>
            <w:pPr>
              <w:pStyle w:val="TableContents"/>
              <w:bidi w:val="0"/>
              <w:spacing w:before="0" w:after="283"/>
              <w:jc w:val="left"/>
              <w:rPr/>
            </w:pPr>
            <w:r>
              <w:rPr/>
              <w:t> </w:t>
            </w:r>
          </w:p>
        </w:tc>
        <w:tc>
          <w:tcPr>
            <w:tcW w:w="1802"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16,109</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5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6,343</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2" w:type="dxa"/>
            <w:tcBorders/>
            <w:tcMar>
              <w:bottom w:w="0" w:type="dxa"/>
            </w:tcMar>
            <w:vAlign w:val="bottom"/>
          </w:tcPr>
          <w:p>
            <w:pPr>
              <w:pStyle w:val="TableContents"/>
              <w:bidi w:val="0"/>
              <w:spacing w:before="0" w:after="283"/>
              <w:jc w:val="left"/>
              <w:rPr/>
            </w:pPr>
            <w:r>
              <w:rPr/>
              <w:t> </w:t>
            </w:r>
          </w:p>
        </w:tc>
        <w:tc>
          <w:tcPr>
            <w:tcW w:w="1648"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22,452</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26" w:type="dxa"/>
            <w:tcBorders/>
            <w:tcMar>
              <w:bottom w:w="0" w:type="dxa"/>
            </w:tcMar>
            <w:vAlign w:val="bottom"/>
          </w:tcPr>
          <w:p>
            <w:pPr>
              <w:pStyle w:val="TableContents"/>
              <w:bidi w:val="0"/>
              <w:spacing w:before="0" w:after="283"/>
              <w:jc w:val="left"/>
              <w:rPr/>
            </w:pPr>
            <w:r>
              <w:rPr/>
              <w:t> </w:t>
            </w:r>
          </w:p>
        </w:tc>
        <w:tc>
          <w:tcPr>
            <w:tcW w:w="1834"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470"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22,452</w:t>
            </w:r>
          </w:p>
        </w:tc>
        <w:tc>
          <w:tcPr>
            <w:tcW w:w="95" w:type="dxa"/>
            <w:tcBorders/>
            <w:tcMar>
              <w:bottom w:w="0" w:type="dxa"/>
            </w:tcMar>
            <w:vAlign w:val="bottom"/>
          </w:tcPr>
          <w:p>
            <w:pPr>
              <w:pStyle w:val="TableContents"/>
              <w:bidi w:val="0"/>
              <w:spacing w:before="0" w:after="283"/>
              <w:jc w:val="left"/>
              <w:rPr/>
            </w:pPr>
            <w:r>
              <w:rPr/>
              <w:t> </w:t>
            </w:r>
          </w:p>
        </w:tc>
      </w:tr>
      <w:tr>
        <w:trPr/>
        <w:tc>
          <w:tcPr>
            <w:tcW w:w="6470" w:type="dxa"/>
            <w:tcBorders>
              <w:bottom w:val="single" w:sz="12"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on disposal of assets, net</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213" w:type="dxa"/>
            <w:tcBorders>
              <w:bottom w:val="single" w:sz="12" w:space="0" w:color="000000"/>
            </w:tcBorders>
            <w:shd w:fill="CCEEFF" w:val="clear"/>
            <w:vAlign w:val="bottom"/>
          </w:tcPr>
          <w:p>
            <w:pPr>
              <w:pStyle w:val="TableContents"/>
              <w:bidi w:val="0"/>
              <w:spacing w:before="0" w:after="283"/>
              <w:jc w:val="left"/>
              <w:rPr/>
            </w:pPr>
            <w:r>
              <w:rPr/>
              <w:t> </w:t>
            </w:r>
          </w:p>
        </w:tc>
        <w:tc>
          <w:tcPr>
            <w:tcW w:w="1802"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950"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vAlign w:val="bottom"/>
          </w:tcPr>
          <w:p>
            <w:pPr>
              <w:pStyle w:val="TableContents"/>
              <w:bidi w:val="0"/>
              <w:spacing w:before="0" w:after="283"/>
              <w:jc w:val="left"/>
              <w:rPr/>
            </w:pPr>
            <w:r>
              <w:rPr/>
              <w:t> </w:t>
            </w:r>
          </w:p>
        </w:tc>
        <w:tc>
          <w:tcPr>
            <w:tcW w:w="1648"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226" w:type="dxa"/>
            <w:tcBorders>
              <w:bottom w:val="single" w:sz="12" w:space="0" w:color="000000"/>
            </w:tcBorders>
            <w:shd w:fill="CCEEFF" w:val="clear"/>
            <w:vAlign w:val="bottom"/>
          </w:tcPr>
          <w:p>
            <w:pPr>
              <w:pStyle w:val="TableContents"/>
              <w:bidi w:val="0"/>
              <w:spacing w:before="0" w:after="283"/>
              <w:jc w:val="left"/>
              <w:rPr/>
            </w:pPr>
            <w:r>
              <w:rPr/>
              <w:t> </w:t>
            </w:r>
          </w:p>
        </w:tc>
        <w:tc>
          <w:tcPr>
            <w:tcW w:w="1834"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470" w:type="dxa"/>
            <w:gridSpan w:val="2"/>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1055"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470"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60" w:type="dxa"/>
            <w:tcBorders>
              <w:bottom w:val="single" w:sz="12" w:space="0" w:color="000000"/>
            </w:tcBorders>
            <w:vAlign w:val="bottom"/>
          </w:tcPr>
          <w:p>
            <w:pPr>
              <w:pStyle w:val="TableContents"/>
              <w:bidi w:val="0"/>
              <w:spacing w:before="0" w:after="283"/>
              <w:jc w:val="right"/>
              <w:rPr/>
            </w:pPr>
            <w:r>
              <w:rPr/>
              <w:t> </w:t>
            </w:r>
          </w:p>
        </w:tc>
        <w:tc>
          <w:tcPr>
            <w:tcW w:w="213" w:type="dxa"/>
            <w:tcBorders>
              <w:bottom w:val="single" w:sz="12" w:space="0" w:color="000000"/>
            </w:tcBorders>
            <w:vAlign w:val="bottom"/>
          </w:tcPr>
          <w:p>
            <w:pPr>
              <w:pStyle w:val="TableContents"/>
              <w:bidi w:val="0"/>
              <w:spacing w:before="0" w:after="283"/>
              <w:jc w:val="left"/>
              <w:rPr/>
            </w:pPr>
            <w:r>
              <w:rPr/>
              <w:t> </w:t>
            </w:r>
          </w:p>
        </w:tc>
        <w:tc>
          <w:tcPr>
            <w:tcW w:w="1802"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89,594</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95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26,086</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42" w:type="dxa"/>
            <w:tcBorders>
              <w:bottom w:val="single" w:sz="12" w:space="0" w:color="000000"/>
            </w:tcBorders>
            <w:vAlign w:val="bottom"/>
          </w:tcPr>
          <w:p>
            <w:pPr>
              <w:pStyle w:val="TableContents"/>
              <w:bidi w:val="0"/>
              <w:spacing w:before="0" w:after="283"/>
              <w:jc w:val="left"/>
              <w:rPr/>
            </w:pPr>
            <w:r>
              <w:rPr/>
              <w:t> </w:t>
            </w:r>
          </w:p>
        </w:tc>
        <w:tc>
          <w:tcPr>
            <w:tcW w:w="1648"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115,680</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226" w:type="dxa"/>
            <w:tcBorders>
              <w:bottom w:val="single" w:sz="12" w:space="0" w:color="000000"/>
            </w:tcBorders>
            <w:vAlign w:val="bottom"/>
          </w:tcPr>
          <w:p>
            <w:pPr>
              <w:pStyle w:val="TableContents"/>
              <w:bidi w:val="0"/>
              <w:spacing w:before="0" w:after="283"/>
              <w:jc w:val="left"/>
              <w:rPr/>
            </w:pPr>
            <w:r>
              <w:rPr/>
              <w:t> </w:t>
            </w:r>
          </w:p>
        </w:tc>
        <w:tc>
          <w:tcPr>
            <w:tcW w:w="1834"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470" w:type="dxa"/>
            <w:gridSpan w:val="2"/>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1055"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115,680</w:t>
            </w:r>
          </w:p>
        </w:tc>
        <w:tc>
          <w:tcPr>
            <w:tcW w:w="95" w:type="dxa"/>
            <w:tcBorders/>
            <w:tcMar>
              <w:bottom w:w="0" w:type="dxa"/>
            </w:tcMar>
            <w:vAlign w:val="bottom"/>
          </w:tcPr>
          <w:p>
            <w:pPr>
              <w:pStyle w:val="TableContents"/>
              <w:bidi w:val="0"/>
              <w:spacing w:before="0" w:after="283"/>
              <w:jc w:val="left"/>
              <w:rPr/>
            </w:pPr>
            <w:r>
              <w:rPr/>
              <w:t> </w:t>
            </w:r>
          </w:p>
        </w:tc>
      </w:tr>
      <w:tr>
        <w:trPr/>
        <w:tc>
          <w:tcPr>
            <w:tcW w:w="647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(loss) from operations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13" w:type="dxa"/>
            <w:tcBorders/>
            <w:shd w:fill="CCEEFF" w:val="clear"/>
            <w:tcMar>
              <w:bottom w:w="0" w:type="dxa"/>
            </w:tcMar>
            <w:vAlign w:val="bottom"/>
          </w:tcPr>
          <w:p>
            <w:pPr>
              <w:pStyle w:val="TableContents"/>
              <w:bidi w:val="0"/>
              <w:spacing w:before="0" w:after="283"/>
              <w:jc w:val="left"/>
              <w:rPr/>
            </w:pPr>
            <w:r>
              <w:rPr/>
              <w:t> </w:t>
            </w:r>
          </w:p>
        </w:tc>
        <w:tc>
          <w:tcPr>
            <w:tcW w:w="1802"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16,163</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50"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(2,172</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2" w:type="dxa"/>
            <w:tcBorders/>
            <w:shd w:fill="CCEEFF" w:val="clear"/>
            <w:tcMar>
              <w:bottom w:w="0" w:type="dxa"/>
            </w:tcMar>
            <w:vAlign w:val="bottom"/>
          </w:tcPr>
          <w:p>
            <w:pPr>
              <w:pStyle w:val="TableContents"/>
              <w:bidi w:val="0"/>
              <w:spacing w:before="0" w:after="283"/>
              <w:jc w:val="left"/>
              <w:rPr/>
            </w:pPr>
            <w:r>
              <w:rPr/>
              <w:t> </w:t>
            </w:r>
          </w:p>
        </w:tc>
        <w:tc>
          <w:tcPr>
            <w:tcW w:w="1648"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13,991</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470" w:type="dxa"/>
            <w:gridSpan w:val="2"/>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13,991</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470" w:type="dxa"/>
            <w:tcBorders/>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Other income, net:</w:t>
            </w:r>
          </w:p>
        </w:tc>
        <w:tc>
          <w:tcPr>
            <w:tcW w:w="60" w:type="dxa"/>
            <w:tcBorders/>
            <w:tcMar>
              <w:bottom w:w="0" w:type="dxa"/>
            </w:tcMar>
            <w:vAlign w:val="bottom"/>
          </w:tcPr>
          <w:p>
            <w:pPr>
              <w:pStyle w:val="TableContents"/>
              <w:bidi w:val="0"/>
              <w:spacing w:before="0" w:after="283"/>
              <w:jc w:val="right"/>
              <w:rPr/>
            </w:pPr>
            <w:r>
              <w:rPr/>
              <w:t> </w:t>
            </w:r>
          </w:p>
        </w:tc>
        <w:tc>
          <w:tcPr>
            <w:tcW w:w="213" w:type="dxa"/>
            <w:tcBorders/>
            <w:tcMar>
              <w:bottom w:w="0" w:type="dxa"/>
            </w:tcMar>
            <w:vAlign w:val="bottom"/>
          </w:tcPr>
          <w:p>
            <w:pPr>
              <w:pStyle w:val="TableContents"/>
              <w:bidi w:val="0"/>
              <w:spacing w:before="0" w:after="283"/>
              <w:jc w:val="left"/>
              <w:rPr/>
            </w:pPr>
            <w:r>
              <w:rPr/>
              <w:t> </w:t>
            </w:r>
          </w:p>
        </w:tc>
        <w:tc>
          <w:tcPr>
            <w:tcW w:w="1802"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50"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2" w:type="dxa"/>
            <w:tcBorders/>
            <w:tcMar>
              <w:bottom w:w="0" w:type="dxa"/>
            </w:tcMar>
            <w:vAlign w:val="bottom"/>
          </w:tcPr>
          <w:p>
            <w:pPr>
              <w:pStyle w:val="TableContents"/>
              <w:bidi w:val="0"/>
              <w:spacing w:before="0" w:after="283"/>
              <w:jc w:val="left"/>
              <w:rPr/>
            </w:pPr>
            <w:r>
              <w:rPr/>
              <w:t> </w:t>
            </w:r>
          </w:p>
        </w:tc>
        <w:tc>
          <w:tcPr>
            <w:tcW w:w="1648"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26" w:type="dxa"/>
            <w:tcBorders/>
            <w:tcMar>
              <w:bottom w:w="0" w:type="dxa"/>
            </w:tcMar>
            <w:vAlign w:val="bottom"/>
          </w:tcPr>
          <w:p>
            <w:pPr>
              <w:pStyle w:val="TableContents"/>
              <w:bidi w:val="0"/>
              <w:spacing w:before="0" w:after="283"/>
              <w:jc w:val="left"/>
              <w:rPr/>
            </w:pPr>
            <w:r>
              <w:rPr/>
              <w:t> </w:t>
            </w:r>
          </w:p>
        </w:tc>
        <w:tc>
          <w:tcPr>
            <w:tcW w:w="1834"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470"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r>
      <w:tr>
        <w:trPr/>
        <w:tc>
          <w:tcPr>
            <w:tcW w:w="647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liability</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13" w:type="dxa"/>
            <w:tcBorders/>
            <w:shd w:fill="CCEEFF" w:val="clear"/>
            <w:tcMar>
              <w:bottom w:w="0" w:type="dxa"/>
            </w:tcMar>
            <w:vAlign w:val="bottom"/>
          </w:tcPr>
          <w:p>
            <w:pPr>
              <w:pStyle w:val="TableContents"/>
              <w:bidi w:val="0"/>
              <w:spacing w:before="0" w:after="283"/>
              <w:jc w:val="left"/>
              <w:rPr/>
            </w:pPr>
            <w:r>
              <w:rPr/>
              <w:t> </w:t>
            </w:r>
          </w:p>
        </w:tc>
        <w:tc>
          <w:tcPr>
            <w:tcW w:w="1802"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7,167</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5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2" w:type="dxa"/>
            <w:tcBorders/>
            <w:shd w:fill="CCEEFF" w:val="clear"/>
            <w:tcMar>
              <w:bottom w:w="0" w:type="dxa"/>
            </w:tcMar>
            <w:vAlign w:val="bottom"/>
          </w:tcPr>
          <w:p>
            <w:pPr>
              <w:pStyle w:val="TableContents"/>
              <w:bidi w:val="0"/>
              <w:spacing w:before="0" w:after="283"/>
              <w:jc w:val="left"/>
              <w:rPr/>
            </w:pPr>
            <w:r>
              <w:rPr/>
              <w:t> </w:t>
            </w:r>
          </w:p>
        </w:tc>
        <w:tc>
          <w:tcPr>
            <w:tcW w:w="1648"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7,167</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470" w:type="dxa"/>
            <w:gridSpan w:val="2"/>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7,167</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47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Other expense, net</w:t>
            </w:r>
          </w:p>
        </w:tc>
        <w:tc>
          <w:tcPr>
            <w:tcW w:w="60" w:type="dxa"/>
            <w:tcBorders/>
            <w:tcMar>
              <w:bottom w:w="0" w:type="dxa"/>
            </w:tcMar>
            <w:vAlign w:val="bottom"/>
          </w:tcPr>
          <w:p>
            <w:pPr>
              <w:pStyle w:val="TableContents"/>
              <w:bidi w:val="0"/>
              <w:spacing w:before="0" w:after="283"/>
              <w:jc w:val="right"/>
              <w:rPr/>
            </w:pPr>
            <w:r>
              <w:rPr/>
              <w:t> </w:t>
            </w:r>
          </w:p>
        </w:tc>
        <w:tc>
          <w:tcPr>
            <w:tcW w:w="213" w:type="dxa"/>
            <w:tcBorders/>
            <w:tcMar>
              <w:bottom w:w="0" w:type="dxa"/>
            </w:tcMar>
            <w:vAlign w:val="bottom"/>
          </w:tcPr>
          <w:p>
            <w:pPr>
              <w:pStyle w:val="TableContents"/>
              <w:bidi w:val="0"/>
              <w:spacing w:before="0" w:after="283"/>
              <w:jc w:val="left"/>
              <w:rPr/>
            </w:pPr>
            <w:r>
              <w:rPr/>
              <w:t> </w:t>
            </w:r>
          </w:p>
        </w:tc>
        <w:tc>
          <w:tcPr>
            <w:tcW w:w="1802"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(1,659</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5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3,489</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2" w:type="dxa"/>
            <w:tcBorders/>
            <w:tcMar>
              <w:bottom w:w="0" w:type="dxa"/>
            </w:tcMar>
            <w:vAlign w:val="bottom"/>
          </w:tcPr>
          <w:p>
            <w:pPr>
              <w:pStyle w:val="TableContents"/>
              <w:bidi w:val="0"/>
              <w:spacing w:before="0" w:after="283"/>
              <w:jc w:val="left"/>
              <w:rPr/>
            </w:pPr>
            <w:r>
              <w:rPr/>
              <w:t> </w:t>
            </w:r>
          </w:p>
        </w:tc>
        <w:tc>
          <w:tcPr>
            <w:tcW w:w="1648"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1,830</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26" w:type="dxa"/>
            <w:tcBorders/>
            <w:tcMar>
              <w:bottom w:w="0" w:type="dxa"/>
            </w:tcMar>
            <w:vAlign w:val="bottom"/>
          </w:tcPr>
          <w:p>
            <w:pPr>
              <w:pStyle w:val="TableContents"/>
              <w:bidi w:val="0"/>
              <w:spacing w:before="0" w:after="283"/>
              <w:jc w:val="left"/>
              <w:rPr/>
            </w:pPr>
            <w:r>
              <w:rPr/>
              <w:t> </w:t>
            </w:r>
          </w:p>
        </w:tc>
        <w:tc>
          <w:tcPr>
            <w:tcW w:w="1834"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470"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1,830</w:t>
            </w:r>
          </w:p>
        </w:tc>
        <w:tc>
          <w:tcPr>
            <w:tcW w:w="95" w:type="dxa"/>
            <w:tcBorders/>
            <w:tcMar>
              <w:bottom w:w="0" w:type="dxa"/>
            </w:tcMar>
            <w:vAlign w:val="bottom"/>
          </w:tcPr>
          <w:p>
            <w:pPr>
              <w:pStyle w:val="TableContents"/>
              <w:bidi w:val="0"/>
              <w:spacing w:before="0" w:after="283"/>
              <w:jc w:val="left"/>
              <w:rPr/>
            </w:pPr>
            <w:r>
              <w:rPr/>
              <w:t> </w:t>
            </w:r>
          </w:p>
        </w:tc>
      </w:tr>
      <w:tr>
        <w:trPr/>
        <w:tc>
          <w:tcPr>
            <w:tcW w:w="6470" w:type="dxa"/>
            <w:tcBorders>
              <w:bottom w:val="single" w:sz="12"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213" w:type="dxa"/>
            <w:tcBorders>
              <w:bottom w:val="single" w:sz="12" w:space="0" w:color="000000"/>
            </w:tcBorders>
            <w:shd w:fill="CCEEFF" w:val="clear"/>
            <w:vAlign w:val="bottom"/>
          </w:tcPr>
          <w:p>
            <w:pPr>
              <w:pStyle w:val="TableContents"/>
              <w:bidi w:val="0"/>
              <w:spacing w:before="0" w:after="283"/>
              <w:jc w:val="left"/>
              <w:rPr/>
            </w:pPr>
            <w:r>
              <w:rPr/>
              <w:t> </w:t>
            </w:r>
          </w:p>
        </w:tc>
        <w:tc>
          <w:tcPr>
            <w:tcW w:w="1802"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1,547</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950"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vAlign w:val="bottom"/>
          </w:tcPr>
          <w:p>
            <w:pPr>
              <w:pStyle w:val="TableContents"/>
              <w:bidi w:val="0"/>
              <w:spacing w:before="0" w:after="283"/>
              <w:jc w:val="left"/>
              <w:rPr/>
            </w:pPr>
            <w:r>
              <w:rPr/>
              <w:t> </w:t>
            </w:r>
          </w:p>
        </w:tc>
        <w:tc>
          <w:tcPr>
            <w:tcW w:w="1648"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1,547</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226" w:type="dxa"/>
            <w:tcBorders>
              <w:bottom w:val="single" w:sz="12" w:space="0" w:color="000000"/>
            </w:tcBorders>
            <w:shd w:fill="CCEEFF" w:val="clear"/>
            <w:vAlign w:val="bottom"/>
          </w:tcPr>
          <w:p>
            <w:pPr>
              <w:pStyle w:val="TableContents"/>
              <w:bidi w:val="0"/>
              <w:spacing w:before="0" w:after="283"/>
              <w:jc w:val="left"/>
              <w:rPr/>
            </w:pPr>
            <w:r>
              <w:rPr/>
              <w:t> </w:t>
            </w:r>
          </w:p>
        </w:tc>
        <w:tc>
          <w:tcPr>
            <w:tcW w:w="1834"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470" w:type="dxa"/>
            <w:gridSpan w:val="2"/>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1055"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1,547</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470" w:type="dxa"/>
            <w:tcBorders/>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60" w:type="dxa"/>
            <w:tcBorders/>
            <w:tcMar>
              <w:bottom w:w="0" w:type="dxa"/>
            </w:tcMar>
            <w:vAlign w:val="bottom"/>
          </w:tcPr>
          <w:p>
            <w:pPr>
              <w:pStyle w:val="TableContents"/>
              <w:bidi w:val="0"/>
              <w:spacing w:before="0" w:after="283"/>
              <w:jc w:val="right"/>
              <w:rPr/>
            </w:pPr>
            <w:r>
              <w:rPr/>
              <w:t> </w:t>
            </w:r>
          </w:p>
        </w:tc>
        <w:tc>
          <w:tcPr>
            <w:tcW w:w="213" w:type="dxa"/>
            <w:tcBorders/>
            <w:tcMar>
              <w:bottom w:w="0" w:type="dxa"/>
            </w:tcMar>
            <w:vAlign w:val="bottom"/>
          </w:tcPr>
          <w:p>
            <w:pPr>
              <w:pStyle w:val="TableContents"/>
              <w:bidi w:val="0"/>
              <w:spacing w:before="0" w:after="283"/>
              <w:jc w:val="left"/>
              <w:rPr/>
            </w:pPr>
            <w:r>
              <w:rPr/>
              <w:t> </w:t>
            </w:r>
          </w:p>
        </w:tc>
        <w:tc>
          <w:tcPr>
            <w:tcW w:w="1802" w:type="dxa"/>
            <w:tcBorders/>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23,218</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50" w:type="dxa"/>
            <w:tcBorders/>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1,317</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2" w:type="dxa"/>
            <w:tcBorders/>
            <w:tcMar>
              <w:bottom w:w="0" w:type="dxa"/>
            </w:tcMar>
            <w:vAlign w:val="bottom"/>
          </w:tcPr>
          <w:p>
            <w:pPr>
              <w:pStyle w:val="TableContents"/>
              <w:bidi w:val="0"/>
              <w:spacing w:before="0" w:after="283"/>
              <w:jc w:val="left"/>
              <w:rPr/>
            </w:pPr>
            <w:r>
              <w:rPr/>
              <w:t> </w:t>
            </w:r>
          </w:p>
        </w:tc>
        <w:tc>
          <w:tcPr>
            <w:tcW w:w="1648" w:type="dxa"/>
            <w:tcBorders/>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24,535</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26" w:type="dxa"/>
            <w:tcBorders/>
            <w:tcMar>
              <w:bottom w:w="0" w:type="dxa"/>
            </w:tcMar>
            <w:vAlign w:val="bottom"/>
          </w:tcPr>
          <w:p>
            <w:pPr>
              <w:pStyle w:val="TableContents"/>
              <w:bidi w:val="0"/>
              <w:spacing w:before="0" w:after="283"/>
              <w:jc w:val="left"/>
              <w:rPr/>
            </w:pPr>
            <w:r>
              <w:rPr/>
              <w:t> </w:t>
            </w:r>
          </w:p>
        </w:tc>
        <w:tc>
          <w:tcPr>
            <w:tcW w:w="1834" w:type="dxa"/>
            <w:tcBorders/>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470"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24,535</w:t>
            </w:r>
          </w:p>
        </w:tc>
        <w:tc>
          <w:tcPr>
            <w:tcW w:w="95" w:type="dxa"/>
            <w:tcBorders/>
            <w:tcMar>
              <w:bottom w:w="0" w:type="dxa"/>
            </w:tcMar>
            <w:vAlign w:val="bottom"/>
          </w:tcPr>
          <w:p>
            <w:pPr>
              <w:pStyle w:val="TableContents"/>
              <w:bidi w:val="0"/>
              <w:spacing w:before="0" w:after="283"/>
              <w:jc w:val="left"/>
              <w:rPr/>
            </w:pPr>
            <w:r>
              <w:rPr/>
              <w:t> </w:t>
            </w:r>
          </w:p>
        </w:tc>
      </w:tr>
      <w:tr>
        <w:trPr/>
        <w:tc>
          <w:tcPr>
            <w:tcW w:w="6470" w:type="dxa"/>
            <w:tcBorders>
              <w:bottom w:val="single" w:sz="12"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213" w:type="dxa"/>
            <w:tcBorders>
              <w:bottom w:val="single" w:sz="12" w:space="0" w:color="000000"/>
            </w:tcBorders>
            <w:shd w:fill="CCEEFF" w:val="clear"/>
            <w:vAlign w:val="bottom"/>
          </w:tcPr>
          <w:p>
            <w:pPr>
              <w:pStyle w:val="TableContents"/>
              <w:bidi w:val="0"/>
              <w:spacing w:before="0" w:after="283"/>
              <w:jc w:val="left"/>
              <w:rPr/>
            </w:pPr>
            <w:r>
              <w:rPr/>
              <w:t> </w:t>
            </w:r>
          </w:p>
        </w:tc>
        <w:tc>
          <w:tcPr>
            <w:tcW w:w="1802"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(5,320</w:t>
            </w:r>
          </w:p>
        </w:tc>
        <w:tc>
          <w:tcPr>
            <w:tcW w:w="80" w:type="dxa"/>
            <w:tcBorders>
              <w:bottom w:val="single" w:sz="12"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950"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(2,490</w:t>
            </w:r>
          </w:p>
        </w:tc>
        <w:tc>
          <w:tcPr>
            <w:tcW w:w="80" w:type="dxa"/>
            <w:tcBorders>
              <w:bottom w:val="single" w:sz="12"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vAlign w:val="bottom"/>
          </w:tcPr>
          <w:p>
            <w:pPr>
              <w:pStyle w:val="TableContents"/>
              <w:bidi w:val="0"/>
              <w:spacing w:before="0" w:after="283"/>
              <w:jc w:val="left"/>
              <w:rPr/>
            </w:pPr>
            <w:r>
              <w:rPr/>
              <w:t> </w:t>
            </w:r>
          </w:p>
        </w:tc>
        <w:tc>
          <w:tcPr>
            <w:tcW w:w="1648"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(7,810</w:t>
            </w:r>
          </w:p>
        </w:tc>
        <w:tc>
          <w:tcPr>
            <w:tcW w:w="80" w:type="dxa"/>
            <w:tcBorders>
              <w:bottom w:val="single" w:sz="12"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226" w:type="dxa"/>
            <w:tcBorders>
              <w:bottom w:val="single" w:sz="12" w:space="0" w:color="000000"/>
            </w:tcBorders>
            <w:shd w:fill="CCEEFF" w:val="clear"/>
            <w:vAlign w:val="bottom"/>
          </w:tcPr>
          <w:p>
            <w:pPr>
              <w:pStyle w:val="TableContents"/>
              <w:bidi w:val="0"/>
              <w:spacing w:before="0" w:after="283"/>
              <w:jc w:val="left"/>
              <w:rPr/>
            </w:pPr>
            <w:r>
              <w:rPr/>
              <w:t> </w:t>
            </w:r>
          </w:p>
        </w:tc>
        <w:tc>
          <w:tcPr>
            <w:tcW w:w="1834"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470" w:type="dxa"/>
            <w:gridSpan w:val="2"/>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1055"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(7,810</w:t>
            </w:r>
          </w:p>
        </w:tc>
        <w:tc>
          <w:tcPr>
            <w:tcW w:w="9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470"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60" w:type="dxa"/>
            <w:tcBorders>
              <w:bottom w:val="single" w:sz="12" w:space="0" w:color="000000"/>
            </w:tcBorders>
            <w:vAlign w:val="bottom"/>
          </w:tcPr>
          <w:p>
            <w:pPr>
              <w:pStyle w:val="TableContents"/>
              <w:bidi w:val="0"/>
              <w:spacing w:before="0" w:after="283"/>
              <w:jc w:val="right"/>
              <w:rPr/>
            </w:pPr>
            <w:r>
              <w:rPr/>
              <w:t> </w:t>
            </w:r>
          </w:p>
        </w:tc>
        <w:tc>
          <w:tcPr>
            <w:tcW w:w="213" w:type="dxa"/>
            <w:tcBorders>
              <w:bottom w:val="single" w:sz="12" w:space="0" w:color="000000"/>
            </w:tcBorders>
            <w:vAlign w:val="bottom"/>
          </w:tcPr>
          <w:p>
            <w:pPr>
              <w:pStyle w:val="TableContents"/>
              <w:bidi w:val="0"/>
              <w:spacing w:before="0" w:after="283"/>
              <w:jc w:val="left"/>
              <w:rPr/>
            </w:pPr>
            <w:r>
              <w:rPr/>
              <w:t> </w:t>
            </w:r>
          </w:p>
        </w:tc>
        <w:tc>
          <w:tcPr>
            <w:tcW w:w="1802"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17,898</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95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(1,173</w:t>
            </w:r>
          </w:p>
        </w:tc>
        <w:tc>
          <w:tcPr>
            <w:tcW w:w="80"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vAlign w:val="bottom"/>
          </w:tcPr>
          <w:p>
            <w:pPr>
              <w:pStyle w:val="TableContents"/>
              <w:bidi w:val="0"/>
              <w:spacing w:before="0" w:after="283"/>
              <w:jc w:val="right"/>
              <w:rPr/>
            </w:pPr>
            <w:r>
              <w:rPr/>
              <w:t> </w:t>
            </w:r>
          </w:p>
        </w:tc>
        <w:tc>
          <w:tcPr>
            <w:tcW w:w="142" w:type="dxa"/>
            <w:tcBorders>
              <w:bottom w:val="single" w:sz="12" w:space="0" w:color="000000"/>
            </w:tcBorders>
            <w:vAlign w:val="bottom"/>
          </w:tcPr>
          <w:p>
            <w:pPr>
              <w:pStyle w:val="TableContents"/>
              <w:bidi w:val="0"/>
              <w:spacing w:before="0" w:after="283"/>
              <w:jc w:val="left"/>
              <w:rPr/>
            </w:pPr>
            <w:r>
              <w:rPr/>
              <w:t> </w:t>
            </w:r>
          </w:p>
        </w:tc>
        <w:tc>
          <w:tcPr>
            <w:tcW w:w="1648"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16,725</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226" w:type="dxa"/>
            <w:tcBorders>
              <w:bottom w:val="single" w:sz="12" w:space="0" w:color="000000"/>
            </w:tcBorders>
            <w:vAlign w:val="bottom"/>
          </w:tcPr>
          <w:p>
            <w:pPr>
              <w:pStyle w:val="TableContents"/>
              <w:bidi w:val="0"/>
              <w:spacing w:before="0" w:after="283"/>
              <w:jc w:val="left"/>
              <w:rPr/>
            </w:pPr>
            <w:r>
              <w:rPr/>
              <w:t> </w:t>
            </w:r>
          </w:p>
        </w:tc>
        <w:tc>
          <w:tcPr>
            <w:tcW w:w="1834"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470" w:type="dxa"/>
            <w:gridSpan w:val="2"/>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1055"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16,725</w:t>
            </w:r>
          </w:p>
        </w:tc>
        <w:tc>
          <w:tcPr>
            <w:tcW w:w="95" w:type="dxa"/>
            <w:tcBorders/>
            <w:tcMar>
              <w:bottom w:w="0" w:type="dxa"/>
            </w:tcMar>
            <w:vAlign w:val="bottom"/>
          </w:tcPr>
          <w:p>
            <w:pPr>
              <w:pStyle w:val="TableContents"/>
              <w:bidi w:val="0"/>
              <w:spacing w:before="0" w:after="283"/>
              <w:jc w:val="left"/>
              <w:rPr/>
            </w:pPr>
            <w:r>
              <w:rPr/>
              <w:t> </w:t>
            </w:r>
          </w:p>
        </w:tc>
      </w:tr>
      <w:tr>
        <w:trPr/>
        <w:tc>
          <w:tcPr>
            <w:tcW w:w="6470" w:type="dxa"/>
            <w:tcBorders/>
            <w:shd w:fill="CCEEFF" w:val="clear"/>
            <w:tcMar>
              <w:bottom w:w="0" w:type="dxa"/>
            </w:tcM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Net income (loss) attributable to non-controlling interest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13" w:type="dxa"/>
            <w:tcBorders/>
            <w:shd w:fill="CCEEFF" w:val="clear"/>
            <w:tcMar>
              <w:bottom w:w="0" w:type="dxa"/>
            </w:tcMar>
            <w:vAlign w:val="bottom"/>
          </w:tcPr>
          <w:p>
            <w:pPr>
              <w:pStyle w:val="TableContents"/>
              <w:bidi w:val="0"/>
              <w:spacing w:before="0" w:after="283"/>
              <w:jc w:val="left"/>
              <w:rPr/>
            </w:pPr>
            <w:r>
              <w:rPr/>
              <w:t> </w:t>
            </w:r>
          </w:p>
        </w:tc>
        <w:tc>
          <w:tcPr>
            <w:tcW w:w="1802"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5,813</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50"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(721</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2" w:type="dxa"/>
            <w:tcBorders/>
            <w:shd w:fill="CCEEFF" w:val="clear"/>
            <w:tcMar>
              <w:bottom w:w="0" w:type="dxa"/>
            </w:tcMar>
            <w:vAlign w:val="bottom"/>
          </w:tcPr>
          <w:p>
            <w:pPr>
              <w:pStyle w:val="TableContents"/>
              <w:bidi w:val="0"/>
              <w:spacing w:before="0" w:after="283"/>
              <w:jc w:val="left"/>
              <w:rPr/>
            </w:pPr>
            <w:r>
              <w:rPr/>
              <w:t> </w:t>
            </w:r>
          </w:p>
        </w:tc>
        <w:tc>
          <w:tcPr>
            <w:tcW w:w="1648"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5,092</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470" w:type="dxa"/>
            <w:gridSpan w:val="2"/>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5,092</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470" w:type="dxa"/>
            <w:tcBorders>
              <w:bottom w:val="single" w:sz="12" w:space="0" w:color="000000"/>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Accretion of redeemable convertible preferred stock</w:t>
            </w:r>
          </w:p>
        </w:tc>
        <w:tc>
          <w:tcPr>
            <w:tcW w:w="60" w:type="dxa"/>
            <w:tcBorders>
              <w:bottom w:val="single" w:sz="12" w:space="0" w:color="000000"/>
            </w:tcBorders>
            <w:vAlign w:val="bottom"/>
          </w:tcPr>
          <w:p>
            <w:pPr>
              <w:pStyle w:val="TableContents"/>
              <w:bidi w:val="0"/>
              <w:spacing w:before="0" w:after="283"/>
              <w:jc w:val="right"/>
              <w:rPr/>
            </w:pPr>
            <w:r>
              <w:rPr/>
              <w:t> </w:t>
            </w:r>
          </w:p>
        </w:tc>
        <w:tc>
          <w:tcPr>
            <w:tcW w:w="213" w:type="dxa"/>
            <w:tcBorders>
              <w:bottom w:val="single" w:sz="12" w:space="0" w:color="000000"/>
            </w:tcBorders>
            <w:vAlign w:val="bottom"/>
          </w:tcPr>
          <w:p>
            <w:pPr>
              <w:pStyle w:val="TableContents"/>
              <w:bidi w:val="0"/>
              <w:spacing w:before="0" w:after="283"/>
              <w:jc w:val="left"/>
              <w:rPr/>
            </w:pPr>
            <w:r>
              <w:rPr/>
              <w:t> </w:t>
            </w:r>
          </w:p>
        </w:tc>
        <w:tc>
          <w:tcPr>
            <w:tcW w:w="1802"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950"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(13,431</w:t>
            </w:r>
          </w:p>
        </w:tc>
        <w:tc>
          <w:tcPr>
            <w:tcW w:w="80" w:type="dxa"/>
            <w:tcBorders>
              <w:bottom w:val="single" w:sz="12" w:space="0" w:color="000000"/>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vAlign w:val="bottom"/>
          </w:tcPr>
          <w:p>
            <w:pPr>
              <w:pStyle w:val="TableContents"/>
              <w:bidi w:val="0"/>
              <w:spacing w:before="0" w:after="283"/>
              <w:jc w:val="right"/>
              <w:rPr/>
            </w:pPr>
            <w:r>
              <w:rPr/>
              <w:t> </w:t>
            </w:r>
          </w:p>
        </w:tc>
        <w:tc>
          <w:tcPr>
            <w:tcW w:w="142" w:type="dxa"/>
            <w:tcBorders>
              <w:bottom w:val="single" w:sz="12" w:space="0" w:color="000000"/>
            </w:tcBorders>
            <w:vAlign w:val="bottom"/>
          </w:tcPr>
          <w:p>
            <w:pPr>
              <w:pStyle w:val="TableContents"/>
              <w:bidi w:val="0"/>
              <w:spacing w:before="0" w:after="283"/>
              <w:jc w:val="left"/>
              <w:rPr/>
            </w:pPr>
            <w:r>
              <w:rPr/>
              <w:t> </w:t>
            </w:r>
          </w:p>
        </w:tc>
        <w:tc>
          <w:tcPr>
            <w:tcW w:w="1648"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(13,431</w:t>
            </w:r>
          </w:p>
        </w:tc>
        <w:tc>
          <w:tcPr>
            <w:tcW w:w="80" w:type="dxa"/>
            <w:tcBorders>
              <w:bottom w:val="single" w:sz="12" w:space="0" w:color="000000"/>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vAlign w:val="bottom"/>
          </w:tcPr>
          <w:p>
            <w:pPr>
              <w:pStyle w:val="TableContents"/>
              <w:bidi w:val="0"/>
              <w:spacing w:before="0" w:after="283"/>
              <w:jc w:val="right"/>
              <w:rPr/>
            </w:pPr>
            <w:r>
              <w:rPr/>
              <w:t> </w:t>
            </w:r>
          </w:p>
        </w:tc>
        <w:tc>
          <w:tcPr>
            <w:tcW w:w="226" w:type="dxa"/>
            <w:tcBorders>
              <w:bottom w:val="single" w:sz="12" w:space="0" w:color="000000"/>
            </w:tcBorders>
            <w:vAlign w:val="bottom"/>
          </w:tcPr>
          <w:p>
            <w:pPr>
              <w:pStyle w:val="TableContents"/>
              <w:bidi w:val="0"/>
              <w:spacing w:before="0" w:after="283"/>
              <w:jc w:val="left"/>
              <w:rPr/>
            </w:pPr>
            <w:r>
              <w:rPr/>
              <w:t> </w:t>
            </w:r>
          </w:p>
        </w:tc>
        <w:tc>
          <w:tcPr>
            <w:tcW w:w="1834"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9,693</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02" w:type="dxa"/>
            <w:tcBorders>
              <w:bottom w:val="single" w:sz="12" w:space="0" w:color="000000"/>
            </w:tcBorders>
            <w:vAlign w:val="bottom"/>
          </w:tcPr>
          <w:p>
            <w:pPr>
              <w:pStyle w:val="TableContents"/>
              <w:bidi w:val="0"/>
              <w:spacing w:before="0" w:after="283"/>
              <w:jc w:val="left"/>
              <w:rPr/>
            </w:pPr>
            <w:r>
              <w:rPr/>
              <w:t> </w:t>
            </w:r>
          </w:p>
        </w:tc>
        <w:tc>
          <w:tcPr>
            <w:tcW w:w="368" w:type="dxa"/>
            <w:tcBorders>
              <w:bottom w:val="single" w:sz="12" w:space="0" w:color="000000"/>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[G]</w:t>
            </w:r>
          </w:p>
        </w:tc>
        <w:tc>
          <w:tcPr>
            <w:tcW w:w="60" w:type="dxa"/>
            <w:tcBorders>
              <w:bottom w:val="single" w:sz="12" w:space="0" w:color="000000"/>
            </w:tcBorders>
            <w:vAlign w:val="bottom"/>
          </w:tcPr>
          <w:p>
            <w:pPr>
              <w:pStyle w:val="TableContents"/>
              <w:bidi w:val="0"/>
              <w:spacing w:before="0" w:after="0"/>
              <w:jc w:val="left"/>
              <w:rPr>
                <w:rFonts w:ascii="Times New Roman" w:hAnsi="Times New Roman"/>
                <w:sz w:val="20"/>
              </w:rPr>
            </w:pPr>
            <w:r>
              <w:rPr>
                <w:rFonts w:ascii="Times New Roman" w:hAnsi="Times New Roman"/>
                <w:sz w:val="20"/>
              </w:rPr>
            </w:r>
          </w:p>
        </w:tc>
        <w:tc>
          <w:tcPr>
            <w:tcW w:w="60" w:type="dxa"/>
            <w:tcBorders>
              <w:bottom w:val="single" w:sz="12" w:space="0" w:color="000000"/>
            </w:tcBorders>
            <w:vAlign w:val="bottom"/>
          </w:tcPr>
          <w:p>
            <w:pPr>
              <w:pStyle w:val="TableContents"/>
              <w:bidi w:val="0"/>
              <w:spacing w:before="0" w:after="283"/>
              <w:jc w:val="righ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1055"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(3,738</w:t>
            </w:r>
          </w:p>
        </w:tc>
        <w:tc>
          <w:tcPr>
            <w:tcW w:w="9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470" w:type="dxa"/>
            <w:tcBorders>
              <w:bottom w:val="single" w:sz="12" w:space="0" w:color="000000"/>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Net income (loss) available to common stockholders</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213" w:type="dxa"/>
            <w:tcBorders>
              <w:bottom w:val="single" w:sz="12" w:space="0" w:color="000000"/>
            </w:tcBorders>
            <w:shd w:fill="CCEEFF" w:val="clear"/>
            <w:vAlign w:val="bottom"/>
          </w:tcPr>
          <w:p>
            <w:pPr>
              <w:pStyle w:val="TableContents"/>
              <w:bidi w:val="0"/>
              <w:spacing w:before="0" w:after="283"/>
              <w:jc w:val="left"/>
              <w:rPr/>
            </w:pPr>
            <w:r>
              <w:rPr/>
              <w:t> </w:t>
            </w:r>
          </w:p>
        </w:tc>
        <w:tc>
          <w:tcPr>
            <w:tcW w:w="1802"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12,085</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95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(13,883</w:t>
            </w:r>
          </w:p>
        </w:tc>
        <w:tc>
          <w:tcPr>
            <w:tcW w:w="80"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vAlign w:val="bottom"/>
          </w:tcPr>
          <w:p>
            <w:pPr>
              <w:pStyle w:val="TableContents"/>
              <w:bidi w:val="0"/>
              <w:spacing w:before="0" w:after="283"/>
              <w:jc w:val="left"/>
              <w:rPr/>
            </w:pPr>
            <w:r>
              <w:rPr/>
              <w:t> </w:t>
            </w:r>
          </w:p>
        </w:tc>
        <w:tc>
          <w:tcPr>
            <w:tcW w:w="1648"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(1,798</w:t>
            </w:r>
          </w:p>
        </w:tc>
        <w:tc>
          <w:tcPr>
            <w:tcW w:w="80"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226" w:type="dxa"/>
            <w:tcBorders>
              <w:bottom w:val="single" w:sz="12" w:space="0" w:color="000000"/>
            </w:tcBorders>
            <w:shd w:fill="CCEEFF" w:val="clear"/>
            <w:vAlign w:val="bottom"/>
          </w:tcPr>
          <w:p>
            <w:pPr>
              <w:pStyle w:val="TableContents"/>
              <w:bidi w:val="0"/>
              <w:spacing w:before="0" w:after="283"/>
              <w:jc w:val="left"/>
              <w:rPr/>
            </w:pPr>
            <w:r>
              <w:rPr/>
              <w:t> </w:t>
            </w:r>
          </w:p>
        </w:tc>
        <w:tc>
          <w:tcPr>
            <w:tcW w:w="1834"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9,693</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02" w:type="dxa"/>
            <w:tcBorders>
              <w:bottom w:val="single" w:sz="12" w:space="0" w:color="000000"/>
            </w:tcBorders>
            <w:shd w:fill="CCEEFF" w:val="clear"/>
            <w:vAlign w:val="bottom"/>
          </w:tcPr>
          <w:p>
            <w:pPr>
              <w:pStyle w:val="TableContents"/>
              <w:bidi w:val="0"/>
              <w:spacing w:before="0" w:after="283"/>
              <w:jc w:val="left"/>
              <w:rPr/>
            </w:pPr>
            <w:r>
              <w:rPr/>
              <w:t> </w:t>
            </w:r>
          </w:p>
        </w:tc>
        <w:tc>
          <w:tcPr>
            <w:tcW w:w="368"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1055"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7,895</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470" w:type="dxa"/>
            <w:tcBorders/>
            <w:tcMar>
              <w:bottom w:w="0" w:type="dxa"/>
            </w:tcM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Net income (loss) per share attributable to common stockholders:</w:t>
            </w:r>
          </w:p>
        </w:tc>
        <w:tc>
          <w:tcPr>
            <w:tcW w:w="60" w:type="dxa"/>
            <w:tcBorders/>
            <w:tcMar>
              <w:bottom w:w="0" w:type="dxa"/>
            </w:tcMar>
            <w:vAlign w:val="bottom"/>
          </w:tcPr>
          <w:p>
            <w:pPr>
              <w:pStyle w:val="TableContents"/>
              <w:bidi w:val="0"/>
              <w:spacing w:before="0" w:after="283"/>
              <w:jc w:val="right"/>
              <w:rPr/>
            </w:pPr>
            <w:r>
              <w:rPr/>
              <w:t> </w:t>
            </w:r>
          </w:p>
        </w:tc>
        <w:tc>
          <w:tcPr>
            <w:tcW w:w="213" w:type="dxa"/>
            <w:tcBorders/>
            <w:tcMar>
              <w:bottom w:w="0" w:type="dxa"/>
            </w:tcMar>
            <w:vAlign w:val="bottom"/>
          </w:tcPr>
          <w:p>
            <w:pPr>
              <w:pStyle w:val="TableContents"/>
              <w:bidi w:val="0"/>
              <w:spacing w:before="0" w:after="283"/>
              <w:jc w:val="left"/>
              <w:rPr/>
            </w:pPr>
            <w:r>
              <w:rPr/>
              <w:t> </w:t>
            </w:r>
          </w:p>
        </w:tc>
        <w:tc>
          <w:tcPr>
            <w:tcW w:w="1802"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50"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2" w:type="dxa"/>
            <w:tcBorders/>
            <w:tcMar>
              <w:bottom w:w="0" w:type="dxa"/>
            </w:tcMar>
            <w:vAlign w:val="bottom"/>
          </w:tcPr>
          <w:p>
            <w:pPr>
              <w:pStyle w:val="TableContents"/>
              <w:bidi w:val="0"/>
              <w:spacing w:before="0" w:after="283"/>
              <w:jc w:val="left"/>
              <w:rPr/>
            </w:pPr>
            <w:r>
              <w:rPr/>
              <w:t> </w:t>
            </w:r>
          </w:p>
        </w:tc>
        <w:tc>
          <w:tcPr>
            <w:tcW w:w="1648"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26" w:type="dxa"/>
            <w:tcBorders/>
            <w:tcMar>
              <w:bottom w:w="0" w:type="dxa"/>
            </w:tcMar>
            <w:vAlign w:val="bottom"/>
          </w:tcPr>
          <w:p>
            <w:pPr>
              <w:pStyle w:val="TableContents"/>
              <w:bidi w:val="0"/>
              <w:spacing w:before="0" w:after="283"/>
              <w:jc w:val="left"/>
              <w:rPr/>
            </w:pPr>
            <w:r>
              <w:rPr/>
              <w:t> </w:t>
            </w:r>
          </w:p>
        </w:tc>
        <w:tc>
          <w:tcPr>
            <w:tcW w:w="1834"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02" w:type="dxa"/>
            <w:tcBorders/>
            <w:tcMar>
              <w:bottom w:w="0" w:type="dxa"/>
            </w:tcMar>
            <w:vAlign w:val="bottom"/>
          </w:tcPr>
          <w:p>
            <w:pPr>
              <w:pStyle w:val="TableContents"/>
              <w:bidi w:val="0"/>
              <w:spacing w:before="0" w:after="283"/>
              <w:jc w:val="left"/>
              <w:rPr/>
            </w:pPr>
            <w:r>
              <w:rPr/>
              <w:t> </w:t>
            </w:r>
          </w:p>
        </w:tc>
        <w:tc>
          <w:tcPr>
            <w:tcW w:w="368"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r>
      <w:tr>
        <w:trPr/>
        <w:tc>
          <w:tcPr>
            <w:tcW w:w="647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13"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802"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0.14</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(1.38</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2" w:type="dxa"/>
            <w:tcBorders/>
            <w:shd w:fill="CCEEFF" w:val="clear"/>
            <w:tcMar>
              <w:bottom w:w="0" w:type="dxa"/>
            </w:tcMar>
            <w:vAlign w:val="bottom"/>
          </w:tcPr>
          <w:p>
            <w:pPr>
              <w:pStyle w:val="TableContents"/>
              <w:bidi w:val="0"/>
              <w:spacing w:before="0" w:after="283"/>
              <w:jc w:val="left"/>
              <w:rPr/>
            </w:pPr>
            <w:r>
              <w:rPr/>
              <w:t> </w:t>
            </w:r>
          </w:p>
        </w:tc>
        <w:tc>
          <w:tcPr>
            <w:tcW w:w="1648" w:type="dxa"/>
            <w:tcBorders/>
            <w:shd w:fill="CCEEFF" w:val="clear"/>
            <w:tcMar>
              <w:bottom w:w="0" w:type="dxa"/>
            </w:tcMar>
            <w:vAlign w:val="bottom"/>
          </w:tcPr>
          <w:p>
            <w:pPr>
              <w:pStyle w:val="TableContents"/>
              <w:bidi w:val="0"/>
              <w:spacing w:before="0" w:after="283"/>
              <w:jc w:val="right"/>
              <w:rPr/>
            </w:pPr>
            <w:r>
              <w:rPr/>
              <w:t> </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470" w:type="dxa"/>
            <w:gridSpan w:val="2"/>
            <w:tcBorders/>
            <w:shd w:fill="CCEEFF" w:val="clear"/>
            <w:tcMar>
              <w:bottom w:w="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[Note 3]</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0.09</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470" w:type="dxa"/>
            <w:tcBorders>
              <w:bottom w:val="single" w:sz="12" w:space="0" w:color="000000"/>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60" w:type="dxa"/>
            <w:tcBorders>
              <w:bottom w:val="single" w:sz="12" w:space="0" w:color="000000"/>
            </w:tcBorders>
            <w:vAlign w:val="bottom"/>
          </w:tcPr>
          <w:p>
            <w:pPr>
              <w:pStyle w:val="TableContents"/>
              <w:bidi w:val="0"/>
              <w:spacing w:before="0" w:after="283"/>
              <w:jc w:val="right"/>
              <w:rPr/>
            </w:pPr>
            <w:r>
              <w:rPr/>
              <w:t> </w:t>
            </w:r>
          </w:p>
        </w:tc>
        <w:tc>
          <w:tcPr>
            <w:tcW w:w="213" w:type="dxa"/>
            <w:tcBorders>
              <w:bottom w:val="single" w:sz="12" w:space="0" w:color="000000"/>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802"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0.05</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25" w:type="dxa"/>
            <w:tcBorders>
              <w:bottom w:val="single" w:sz="12" w:space="0" w:color="000000"/>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(1.38</w:t>
            </w:r>
          </w:p>
        </w:tc>
        <w:tc>
          <w:tcPr>
            <w:tcW w:w="80" w:type="dxa"/>
            <w:tcBorders>
              <w:bottom w:val="single" w:sz="12" w:space="0" w:color="000000"/>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vAlign w:val="bottom"/>
          </w:tcPr>
          <w:p>
            <w:pPr>
              <w:pStyle w:val="TableContents"/>
              <w:bidi w:val="0"/>
              <w:spacing w:before="0" w:after="283"/>
              <w:jc w:val="right"/>
              <w:rPr/>
            </w:pPr>
            <w:r>
              <w:rPr/>
              <w:t> </w:t>
            </w:r>
          </w:p>
        </w:tc>
        <w:tc>
          <w:tcPr>
            <w:tcW w:w="142" w:type="dxa"/>
            <w:tcBorders>
              <w:bottom w:val="single" w:sz="12" w:space="0" w:color="000000"/>
            </w:tcBorders>
            <w:vAlign w:val="bottom"/>
          </w:tcPr>
          <w:p>
            <w:pPr>
              <w:pStyle w:val="TableContents"/>
              <w:bidi w:val="0"/>
              <w:spacing w:before="0" w:after="283"/>
              <w:jc w:val="left"/>
              <w:rPr/>
            </w:pPr>
            <w:r>
              <w:rPr/>
              <w:t> </w:t>
            </w:r>
          </w:p>
        </w:tc>
        <w:tc>
          <w:tcPr>
            <w:tcW w:w="1648" w:type="dxa"/>
            <w:tcBorders>
              <w:bottom w:val="single" w:sz="12" w:space="0" w:color="000000"/>
            </w:tcBorders>
            <w:vAlign w:val="bottom"/>
          </w:tcPr>
          <w:p>
            <w:pPr>
              <w:pStyle w:val="TableContents"/>
              <w:bidi w:val="0"/>
              <w:spacing w:before="0" w:after="283"/>
              <w:jc w:val="right"/>
              <w:rPr/>
            </w:pPr>
            <w:r>
              <w:rPr/>
              <w:t> </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226" w:type="dxa"/>
            <w:tcBorders>
              <w:bottom w:val="single" w:sz="12" w:space="0" w:color="000000"/>
            </w:tcBorders>
            <w:vAlign w:val="bottom"/>
          </w:tcPr>
          <w:p>
            <w:pPr>
              <w:pStyle w:val="TableContents"/>
              <w:bidi w:val="0"/>
              <w:spacing w:before="0" w:after="283"/>
              <w:jc w:val="left"/>
              <w:rPr/>
            </w:pPr>
            <w:r>
              <w:rPr/>
              <w:t> </w:t>
            </w:r>
          </w:p>
        </w:tc>
        <w:tc>
          <w:tcPr>
            <w:tcW w:w="1834" w:type="dxa"/>
            <w:tcBorders>
              <w:bottom w:val="single" w:sz="12" w:space="0" w:color="000000"/>
            </w:tcBorders>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470" w:type="dxa"/>
            <w:gridSpan w:val="2"/>
            <w:tcBorders>
              <w:bottom w:val="single" w:sz="12" w:space="0" w:color="000000"/>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[Note 3]</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25" w:type="dxa"/>
            <w:tcBorders>
              <w:bottom w:val="single" w:sz="12" w:space="0" w:color="000000"/>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0.01</w:t>
            </w:r>
          </w:p>
        </w:tc>
        <w:tc>
          <w:tcPr>
            <w:tcW w:w="95" w:type="dxa"/>
            <w:tcBorders/>
            <w:tcMar>
              <w:bottom w:w="0" w:type="dxa"/>
            </w:tcMar>
            <w:vAlign w:val="bottom"/>
          </w:tcPr>
          <w:p>
            <w:pPr>
              <w:pStyle w:val="TableContents"/>
              <w:bidi w:val="0"/>
              <w:spacing w:before="0" w:after="283"/>
              <w:jc w:val="left"/>
              <w:rPr/>
            </w:pPr>
            <w:r>
              <w:rPr/>
              <w:t> </w:t>
            </w:r>
          </w:p>
        </w:tc>
      </w:tr>
      <w:tr>
        <w:trPr/>
        <w:tc>
          <w:tcPr>
            <w:tcW w:w="6470" w:type="dxa"/>
            <w:tcBorders/>
            <w:shd w:fill="CCEEFF" w:val="clear"/>
            <w:tcMar>
              <w:bottom w:w="0" w:type="dxa"/>
            </w:tcM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Weighted average shares used in calculating net income (loss) per share attributable to common stockholders: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13" w:type="dxa"/>
            <w:tcBorders/>
            <w:shd w:fill="CCEEFF" w:val="clear"/>
            <w:tcMar>
              <w:bottom w:w="0" w:type="dxa"/>
            </w:tcMar>
            <w:vAlign w:val="bottom"/>
          </w:tcPr>
          <w:p>
            <w:pPr>
              <w:pStyle w:val="TableContents"/>
              <w:bidi w:val="0"/>
              <w:spacing w:before="0" w:after="283"/>
              <w:jc w:val="left"/>
              <w:rPr/>
            </w:pPr>
            <w:r>
              <w:rPr/>
              <w:t> </w:t>
            </w:r>
          </w:p>
        </w:tc>
        <w:tc>
          <w:tcPr>
            <w:tcW w:w="1802" w:type="dxa"/>
            <w:tcBorders/>
            <w:shd w:fill="CCEEFF" w:val="clear"/>
            <w:tcMar>
              <w:bottom w:w="0" w:type="dxa"/>
            </w:tcMar>
            <w:vAlign w:val="bottom"/>
          </w:tcPr>
          <w:p>
            <w:pPr>
              <w:pStyle w:val="TableContents"/>
              <w:bidi w:val="0"/>
              <w:spacing w:before="0" w:after="283"/>
              <w:jc w:val="right"/>
              <w:rPr/>
            </w:pPr>
            <w:r>
              <w:rPr/>
              <w:t> </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50" w:type="dxa"/>
            <w:tcBorders/>
            <w:shd w:fill="CCEEFF" w:val="clear"/>
            <w:tcMar>
              <w:bottom w:w="0" w:type="dxa"/>
            </w:tcMar>
            <w:vAlign w:val="bottom"/>
          </w:tcPr>
          <w:p>
            <w:pPr>
              <w:pStyle w:val="TableContents"/>
              <w:bidi w:val="0"/>
              <w:spacing w:before="0" w:after="283"/>
              <w:jc w:val="right"/>
              <w:rPr/>
            </w:pPr>
            <w:r>
              <w:rPr/>
              <w:t> </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2" w:type="dxa"/>
            <w:tcBorders/>
            <w:shd w:fill="CCEEFF" w:val="clear"/>
            <w:tcMar>
              <w:bottom w:w="0" w:type="dxa"/>
            </w:tcMar>
            <w:vAlign w:val="bottom"/>
          </w:tcPr>
          <w:p>
            <w:pPr>
              <w:pStyle w:val="TableContents"/>
              <w:bidi w:val="0"/>
              <w:spacing w:before="0" w:after="283"/>
              <w:jc w:val="left"/>
              <w:rPr/>
            </w:pPr>
            <w:r>
              <w:rPr/>
              <w:t> </w:t>
            </w:r>
          </w:p>
        </w:tc>
        <w:tc>
          <w:tcPr>
            <w:tcW w:w="1648" w:type="dxa"/>
            <w:tcBorders/>
            <w:shd w:fill="CCEEFF" w:val="clear"/>
            <w:tcMar>
              <w:bottom w:w="0" w:type="dxa"/>
            </w:tcMar>
            <w:vAlign w:val="bottom"/>
          </w:tcPr>
          <w:p>
            <w:pPr>
              <w:pStyle w:val="TableContents"/>
              <w:bidi w:val="0"/>
              <w:spacing w:before="0" w:after="283"/>
              <w:jc w:val="right"/>
              <w:rPr/>
            </w:pPr>
            <w:r>
              <w:rPr/>
              <w:t> </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02" w:type="dxa"/>
            <w:tcBorders/>
            <w:shd w:fill="CCEEFF" w:val="clear"/>
            <w:tcMar>
              <w:bottom w:w="0" w:type="dxa"/>
            </w:tcMar>
            <w:vAlign w:val="bottom"/>
          </w:tcPr>
          <w:p>
            <w:pPr>
              <w:pStyle w:val="TableContents"/>
              <w:bidi w:val="0"/>
              <w:spacing w:before="0" w:after="283"/>
              <w:jc w:val="left"/>
              <w:rPr/>
            </w:pPr>
            <w:r>
              <w:rPr/>
              <w:t> </w:t>
            </w:r>
          </w:p>
        </w:tc>
        <w:tc>
          <w:tcPr>
            <w:tcW w:w="368"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283"/>
              <w:jc w:val="right"/>
              <w:rPr/>
            </w:pPr>
            <w:r>
              <w:rPr/>
              <w:t> </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47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60" w:type="dxa"/>
            <w:tcBorders/>
            <w:tcMar>
              <w:bottom w:w="0" w:type="dxa"/>
            </w:tcMar>
            <w:vAlign w:val="bottom"/>
          </w:tcPr>
          <w:p>
            <w:pPr>
              <w:pStyle w:val="TableContents"/>
              <w:bidi w:val="0"/>
              <w:spacing w:before="0" w:after="283"/>
              <w:jc w:val="right"/>
              <w:rPr/>
            </w:pPr>
            <w:r>
              <w:rPr/>
              <w:t> </w:t>
            </w:r>
          </w:p>
        </w:tc>
        <w:tc>
          <w:tcPr>
            <w:tcW w:w="213" w:type="dxa"/>
            <w:tcBorders/>
            <w:tcMar>
              <w:bottom w:w="0" w:type="dxa"/>
            </w:tcMar>
            <w:vAlign w:val="bottom"/>
          </w:tcPr>
          <w:p>
            <w:pPr>
              <w:pStyle w:val="TableContents"/>
              <w:bidi w:val="0"/>
              <w:spacing w:before="0" w:after="283"/>
              <w:jc w:val="left"/>
              <w:rPr/>
            </w:pPr>
            <w:r>
              <w:rPr/>
              <w:t> </w:t>
            </w:r>
          </w:p>
        </w:tc>
        <w:tc>
          <w:tcPr>
            <w:tcW w:w="1802"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85,094,948</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5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10,023,615</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2" w:type="dxa"/>
            <w:tcBorders/>
            <w:tcMar>
              <w:bottom w:w="0" w:type="dxa"/>
            </w:tcMar>
            <w:vAlign w:val="bottom"/>
          </w:tcPr>
          <w:p>
            <w:pPr>
              <w:pStyle w:val="TableContents"/>
              <w:bidi w:val="0"/>
              <w:spacing w:before="0" w:after="283"/>
              <w:jc w:val="left"/>
              <w:rPr/>
            </w:pPr>
            <w:r>
              <w:rPr/>
              <w:t> </w:t>
            </w:r>
          </w:p>
        </w:tc>
        <w:tc>
          <w:tcPr>
            <w:tcW w:w="1648" w:type="dxa"/>
            <w:tcBorders/>
            <w:tcMar>
              <w:bottom w:w="0" w:type="dxa"/>
            </w:tcMar>
            <w:vAlign w:val="bottom"/>
          </w:tcPr>
          <w:p>
            <w:pPr>
              <w:pStyle w:val="TableContents"/>
              <w:bidi w:val="0"/>
              <w:spacing w:before="0" w:after="283"/>
              <w:jc w:val="right"/>
              <w:rPr/>
            </w:pPr>
            <w:r>
              <w:rPr/>
              <w:t> </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26" w:type="dxa"/>
            <w:tcBorders/>
            <w:tcMar>
              <w:bottom w:w="0" w:type="dxa"/>
            </w:tcMar>
            <w:vAlign w:val="bottom"/>
          </w:tcPr>
          <w:p>
            <w:pPr>
              <w:pStyle w:val="TableContents"/>
              <w:bidi w:val="0"/>
              <w:spacing w:before="0" w:after="283"/>
              <w:jc w:val="left"/>
              <w:rPr/>
            </w:pPr>
            <w:r>
              <w:rPr/>
              <w:t> </w:t>
            </w:r>
          </w:p>
        </w:tc>
        <w:tc>
          <w:tcPr>
            <w:tcW w:w="1834"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470" w:type="dxa"/>
            <w:gridSpan w:val="2"/>
            <w:tcBorders/>
            <w:tcMar>
              <w:bottom w:w="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[Note 3]</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85,094,948</w:t>
            </w:r>
          </w:p>
        </w:tc>
        <w:tc>
          <w:tcPr>
            <w:tcW w:w="95" w:type="dxa"/>
            <w:tcBorders/>
            <w:tcMar>
              <w:bottom w:w="0" w:type="dxa"/>
            </w:tcMar>
            <w:vAlign w:val="bottom"/>
          </w:tcPr>
          <w:p>
            <w:pPr>
              <w:pStyle w:val="TableContents"/>
              <w:bidi w:val="0"/>
              <w:spacing w:before="0" w:after="283"/>
              <w:jc w:val="left"/>
              <w:rPr/>
            </w:pPr>
            <w:r>
              <w:rPr/>
              <w:t> </w:t>
            </w:r>
          </w:p>
        </w:tc>
      </w:tr>
      <w:tr>
        <w:trPr/>
        <w:tc>
          <w:tcPr>
            <w:tcW w:w="647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13" w:type="dxa"/>
            <w:tcBorders/>
            <w:shd w:fill="CCEEFF" w:val="clear"/>
            <w:tcMar>
              <w:bottom w:w="0" w:type="dxa"/>
            </w:tcMar>
            <w:vAlign w:val="bottom"/>
          </w:tcPr>
          <w:p>
            <w:pPr>
              <w:pStyle w:val="TableContents"/>
              <w:bidi w:val="0"/>
              <w:spacing w:before="0" w:after="283"/>
              <w:jc w:val="left"/>
              <w:rPr/>
            </w:pPr>
            <w:r>
              <w:rPr/>
              <w:t> </w:t>
            </w:r>
          </w:p>
        </w:tc>
        <w:tc>
          <w:tcPr>
            <w:tcW w:w="1802"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102,293,526</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5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10,023,615</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2" w:type="dxa"/>
            <w:tcBorders/>
            <w:shd w:fill="CCEEFF" w:val="clear"/>
            <w:tcMar>
              <w:bottom w:w="0" w:type="dxa"/>
            </w:tcMar>
            <w:vAlign w:val="bottom"/>
          </w:tcPr>
          <w:p>
            <w:pPr>
              <w:pStyle w:val="TableContents"/>
              <w:bidi w:val="0"/>
              <w:spacing w:before="0" w:after="283"/>
              <w:jc w:val="left"/>
              <w:rPr/>
            </w:pPr>
            <w:r>
              <w:rPr/>
              <w:t> </w:t>
            </w:r>
          </w:p>
        </w:tc>
        <w:tc>
          <w:tcPr>
            <w:tcW w:w="1648" w:type="dxa"/>
            <w:tcBorders/>
            <w:shd w:fill="CCEEFF" w:val="clear"/>
            <w:tcMar>
              <w:bottom w:w="0" w:type="dxa"/>
            </w:tcMar>
            <w:vAlign w:val="bottom"/>
          </w:tcPr>
          <w:p>
            <w:pPr>
              <w:pStyle w:val="TableContents"/>
              <w:bidi w:val="0"/>
              <w:spacing w:before="0" w:after="283"/>
              <w:jc w:val="right"/>
              <w:rPr/>
            </w:pPr>
            <w:r>
              <w:rPr/>
              <w:t> </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470" w:type="dxa"/>
            <w:gridSpan w:val="2"/>
            <w:tcBorders/>
            <w:shd w:fill="CCEEFF" w:val="clear"/>
            <w:tcMar>
              <w:bottom w:w="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[Note 3]</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102,293,526</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470"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w:t>
            </w:r>
          </w:p>
        </w:tc>
        <w:tc>
          <w:tcPr>
            <w:tcW w:w="60" w:type="dxa"/>
            <w:tcBorders>
              <w:bottom w:val="single" w:sz="12" w:space="0" w:color="000000"/>
            </w:tcBorders>
            <w:vAlign w:val="bottom"/>
          </w:tcPr>
          <w:p>
            <w:pPr>
              <w:pStyle w:val="TableContents"/>
              <w:bidi w:val="0"/>
              <w:spacing w:before="0" w:after="283"/>
              <w:jc w:val="right"/>
              <w:rPr/>
            </w:pPr>
            <w:r>
              <w:rPr/>
              <w:t> </w:t>
            </w:r>
          </w:p>
        </w:tc>
        <w:tc>
          <w:tcPr>
            <w:tcW w:w="213" w:type="dxa"/>
            <w:tcBorders>
              <w:bottom w:val="single" w:sz="12" w:space="0" w:color="000000"/>
            </w:tcBorders>
            <w:vAlign w:val="bottom"/>
          </w:tcPr>
          <w:p>
            <w:pPr>
              <w:pStyle w:val="TableContents"/>
              <w:bidi w:val="0"/>
              <w:spacing w:before="0" w:after="283"/>
              <w:jc w:val="left"/>
              <w:rPr/>
            </w:pPr>
            <w:r>
              <w:rPr/>
              <w:t> </w:t>
            </w:r>
          </w:p>
        </w:tc>
        <w:tc>
          <w:tcPr>
            <w:tcW w:w="1802" w:type="dxa"/>
            <w:tcBorders>
              <w:bottom w:val="single" w:sz="12" w:space="0" w:color="000000"/>
            </w:tcBorders>
            <w:vAlign w:val="bottom"/>
          </w:tcPr>
          <w:p>
            <w:pPr>
              <w:pStyle w:val="TableContents"/>
              <w:bidi w:val="0"/>
              <w:spacing w:before="0" w:after="283"/>
              <w:jc w:val="right"/>
              <w:rPr/>
            </w:pPr>
            <w:r>
              <w:rPr/>
              <w:t> </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950" w:type="dxa"/>
            <w:tcBorders>
              <w:bottom w:val="single" w:sz="12" w:space="0" w:color="000000"/>
            </w:tcBorders>
            <w:vAlign w:val="bottom"/>
          </w:tcPr>
          <w:p>
            <w:pPr>
              <w:pStyle w:val="TableContents"/>
              <w:bidi w:val="0"/>
              <w:spacing w:before="0" w:after="283"/>
              <w:jc w:val="right"/>
              <w:rPr/>
            </w:pPr>
            <w:r>
              <w:rPr/>
              <w:t> </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42" w:type="dxa"/>
            <w:tcBorders>
              <w:bottom w:val="single" w:sz="12" w:space="0" w:color="000000"/>
            </w:tcBorders>
            <w:vAlign w:val="bottom"/>
          </w:tcPr>
          <w:p>
            <w:pPr>
              <w:pStyle w:val="TableContents"/>
              <w:bidi w:val="0"/>
              <w:spacing w:before="0" w:after="283"/>
              <w:jc w:val="left"/>
              <w:rPr/>
            </w:pPr>
            <w:r>
              <w:rPr/>
              <w:t> </w:t>
            </w:r>
          </w:p>
        </w:tc>
        <w:tc>
          <w:tcPr>
            <w:tcW w:w="1648" w:type="dxa"/>
            <w:tcBorders>
              <w:bottom w:val="single" w:sz="12" w:space="0" w:color="000000"/>
            </w:tcBorders>
            <w:vAlign w:val="bottom"/>
          </w:tcPr>
          <w:p>
            <w:pPr>
              <w:pStyle w:val="TableContents"/>
              <w:bidi w:val="0"/>
              <w:spacing w:before="0" w:after="283"/>
              <w:jc w:val="right"/>
              <w:rPr/>
            </w:pPr>
            <w:r>
              <w:rPr/>
              <w:t> </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226" w:type="dxa"/>
            <w:tcBorders>
              <w:bottom w:val="single" w:sz="12" w:space="0" w:color="000000"/>
            </w:tcBorders>
            <w:vAlign w:val="bottom"/>
          </w:tcPr>
          <w:p>
            <w:pPr>
              <w:pStyle w:val="TableContents"/>
              <w:bidi w:val="0"/>
              <w:spacing w:before="0" w:after="283"/>
              <w:jc w:val="left"/>
              <w:rPr/>
            </w:pPr>
            <w:r>
              <w:rPr/>
              <w:t> </w:t>
            </w:r>
          </w:p>
        </w:tc>
        <w:tc>
          <w:tcPr>
            <w:tcW w:w="1834" w:type="dxa"/>
            <w:tcBorders>
              <w:bottom w:val="single" w:sz="12" w:space="0" w:color="000000"/>
            </w:tcBorders>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02" w:type="dxa"/>
            <w:tcBorders>
              <w:bottom w:val="single" w:sz="12" w:space="0" w:color="000000"/>
            </w:tcBorders>
            <w:vAlign w:val="bottom"/>
          </w:tcPr>
          <w:p>
            <w:pPr>
              <w:pStyle w:val="TableContents"/>
              <w:bidi w:val="0"/>
              <w:spacing w:before="0" w:after="283"/>
              <w:jc w:val="left"/>
              <w:rPr/>
            </w:pPr>
            <w:r>
              <w:rPr/>
              <w:t> </w:t>
            </w:r>
          </w:p>
        </w:tc>
        <w:tc>
          <w:tcPr>
            <w:tcW w:w="368" w:type="dxa"/>
            <w:tcBorders>
              <w:bottom w:val="single" w:sz="12" w:space="0" w:color="000000"/>
            </w:tcBorders>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1055" w:type="dxa"/>
            <w:tcBorders>
              <w:bottom w:val="single" w:sz="12" w:space="0" w:color="000000"/>
            </w:tcBorders>
            <w:vAlign w:val="bottom"/>
          </w:tcPr>
          <w:p>
            <w:pPr>
              <w:pStyle w:val="TableContents"/>
              <w:bidi w:val="0"/>
              <w:spacing w:before="0" w:after="283"/>
              <w:jc w:val="right"/>
              <w:rPr/>
            </w:pPr>
            <w:r>
              <w:rPr/>
              <w:t> </w:t>
            </w:r>
          </w:p>
        </w:tc>
        <w:tc>
          <w:tcPr>
            <w:tcW w:w="95" w:type="dxa"/>
            <w:tcBorders/>
            <w:tcMar>
              <w:bottom w:w="0" w:type="dxa"/>
            </w:tcMar>
            <w:vAlign w:val="bottom"/>
          </w:tcPr>
          <w:p>
            <w:pPr>
              <w:pStyle w:val="TableContents"/>
              <w:bidi w:val="0"/>
              <w:spacing w:before="0" w:after="283"/>
              <w:jc w:val="left"/>
              <w:rPr/>
            </w:pPr>
            <w:r>
              <w:rPr/>
              <w:t> </w:t>
            </w:r>
          </w:p>
        </w:tc>
      </w:tr>
      <w:tr>
        <w:trPr/>
        <w:tc>
          <w:tcPr>
            <w:tcW w:w="6470"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 from operations</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213" w:type="dxa"/>
            <w:tcBorders>
              <w:bottom w:val="single" w:sz="12" w:space="0" w:color="000000"/>
            </w:tcBorders>
            <w:shd w:fill="CCEEFF" w:val="clear"/>
            <w:vAlign w:val="bottom"/>
          </w:tcPr>
          <w:p>
            <w:pPr>
              <w:pStyle w:val="TableContents"/>
              <w:bidi w:val="0"/>
              <w:spacing w:before="0" w:after="283"/>
              <w:jc w:val="left"/>
              <w:rPr/>
            </w:pPr>
            <w:r>
              <w:rPr/>
              <w:t> </w:t>
            </w:r>
          </w:p>
        </w:tc>
        <w:tc>
          <w:tcPr>
            <w:tcW w:w="1802"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17,898</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95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(1,173</w:t>
            </w:r>
          </w:p>
        </w:tc>
        <w:tc>
          <w:tcPr>
            <w:tcW w:w="80"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vAlign w:val="bottom"/>
          </w:tcPr>
          <w:p>
            <w:pPr>
              <w:pStyle w:val="TableContents"/>
              <w:bidi w:val="0"/>
              <w:spacing w:before="0" w:after="283"/>
              <w:jc w:val="left"/>
              <w:rPr/>
            </w:pPr>
            <w:r>
              <w:rPr/>
              <w:t> </w:t>
            </w:r>
          </w:p>
        </w:tc>
        <w:tc>
          <w:tcPr>
            <w:tcW w:w="1648"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16,725</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226" w:type="dxa"/>
            <w:tcBorders>
              <w:bottom w:val="single" w:sz="12" w:space="0" w:color="000000"/>
            </w:tcBorders>
            <w:shd w:fill="CCEEFF" w:val="clear"/>
            <w:vAlign w:val="bottom"/>
          </w:tcPr>
          <w:p>
            <w:pPr>
              <w:pStyle w:val="TableContents"/>
              <w:bidi w:val="0"/>
              <w:spacing w:before="0" w:after="283"/>
              <w:jc w:val="left"/>
              <w:rPr/>
            </w:pPr>
            <w:r>
              <w:rPr/>
              <w:t> </w:t>
            </w:r>
          </w:p>
        </w:tc>
        <w:tc>
          <w:tcPr>
            <w:tcW w:w="1834"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02" w:type="dxa"/>
            <w:tcBorders>
              <w:bottom w:val="single" w:sz="12" w:space="0" w:color="000000"/>
            </w:tcBorders>
            <w:shd w:fill="CCEEFF" w:val="clear"/>
            <w:vAlign w:val="bottom"/>
          </w:tcPr>
          <w:p>
            <w:pPr>
              <w:pStyle w:val="TableContents"/>
              <w:bidi w:val="0"/>
              <w:spacing w:before="0" w:after="283"/>
              <w:jc w:val="left"/>
              <w:rPr/>
            </w:pPr>
            <w:r>
              <w:rPr/>
              <w:t> </w:t>
            </w:r>
          </w:p>
        </w:tc>
        <w:tc>
          <w:tcPr>
            <w:tcW w:w="368"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1055"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16,725</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47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60" w:type="dxa"/>
            <w:tcBorders/>
            <w:tcMar>
              <w:bottom w:w="0" w:type="dxa"/>
            </w:tcMar>
            <w:vAlign w:val="bottom"/>
          </w:tcPr>
          <w:p>
            <w:pPr>
              <w:pStyle w:val="TableContents"/>
              <w:bidi w:val="0"/>
              <w:spacing w:before="0" w:after="283"/>
              <w:jc w:val="right"/>
              <w:rPr/>
            </w:pPr>
            <w:r>
              <w:rPr/>
              <w:t> </w:t>
            </w:r>
          </w:p>
        </w:tc>
        <w:tc>
          <w:tcPr>
            <w:tcW w:w="213" w:type="dxa"/>
            <w:tcBorders/>
            <w:tcMar>
              <w:bottom w:w="0" w:type="dxa"/>
            </w:tcMar>
            <w:vAlign w:val="bottom"/>
          </w:tcPr>
          <w:p>
            <w:pPr>
              <w:pStyle w:val="TableContents"/>
              <w:bidi w:val="0"/>
              <w:spacing w:before="0" w:after="283"/>
              <w:jc w:val="left"/>
              <w:rPr/>
            </w:pPr>
            <w:r>
              <w:rPr/>
              <w:t> </w:t>
            </w:r>
          </w:p>
        </w:tc>
        <w:tc>
          <w:tcPr>
            <w:tcW w:w="1802"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(1,460</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5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(215</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right"/>
              <w:rPr/>
            </w:pPr>
            <w:r>
              <w:rPr/>
              <w:t> </w:t>
            </w:r>
          </w:p>
        </w:tc>
        <w:tc>
          <w:tcPr>
            <w:tcW w:w="142" w:type="dxa"/>
            <w:tcBorders/>
            <w:tcMar>
              <w:bottom w:w="0" w:type="dxa"/>
            </w:tcMar>
            <w:vAlign w:val="bottom"/>
          </w:tcPr>
          <w:p>
            <w:pPr>
              <w:pStyle w:val="TableContents"/>
              <w:bidi w:val="0"/>
              <w:spacing w:before="0" w:after="283"/>
              <w:jc w:val="left"/>
              <w:rPr/>
            </w:pPr>
            <w:r>
              <w:rPr/>
              <w:t> </w:t>
            </w:r>
          </w:p>
        </w:tc>
        <w:tc>
          <w:tcPr>
            <w:tcW w:w="1648"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(1,675</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right"/>
              <w:rPr/>
            </w:pPr>
            <w:r>
              <w:rPr/>
              <w:t> </w:t>
            </w:r>
          </w:p>
        </w:tc>
        <w:tc>
          <w:tcPr>
            <w:tcW w:w="226" w:type="dxa"/>
            <w:tcBorders/>
            <w:tcMar>
              <w:bottom w:w="0" w:type="dxa"/>
            </w:tcMar>
            <w:vAlign w:val="bottom"/>
          </w:tcPr>
          <w:p>
            <w:pPr>
              <w:pStyle w:val="TableContents"/>
              <w:bidi w:val="0"/>
              <w:spacing w:before="0" w:after="283"/>
              <w:jc w:val="left"/>
              <w:rPr/>
            </w:pPr>
            <w:r>
              <w:rPr/>
              <w:t> </w:t>
            </w:r>
          </w:p>
        </w:tc>
        <w:tc>
          <w:tcPr>
            <w:tcW w:w="1834"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02" w:type="dxa"/>
            <w:tcBorders/>
            <w:tcMar>
              <w:bottom w:w="0" w:type="dxa"/>
            </w:tcMar>
            <w:vAlign w:val="bottom"/>
          </w:tcPr>
          <w:p>
            <w:pPr>
              <w:pStyle w:val="TableContents"/>
              <w:bidi w:val="0"/>
              <w:spacing w:before="0" w:after="283"/>
              <w:jc w:val="left"/>
              <w:rPr/>
            </w:pPr>
            <w:r>
              <w:rPr/>
              <w:t> </w:t>
            </w:r>
          </w:p>
        </w:tc>
        <w:tc>
          <w:tcPr>
            <w:tcW w:w="368"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(1,675</w:t>
            </w:r>
          </w:p>
        </w:tc>
        <w:tc>
          <w:tcPr>
            <w:tcW w:w="9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470" w:type="dxa"/>
            <w:tcBorders/>
            <w:shd w:fill="CCEEFF" w:val="clear"/>
            <w:tcMar>
              <w:bottom w:w="0" w:type="dxa"/>
            </w:tcM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Unrealized (loss) gains on short-term investments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13" w:type="dxa"/>
            <w:tcBorders/>
            <w:shd w:fill="CCEEFF" w:val="clear"/>
            <w:tcMar>
              <w:bottom w:w="0" w:type="dxa"/>
            </w:tcMar>
            <w:vAlign w:val="bottom"/>
          </w:tcPr>
          <w:p>
            <w:pPr>
              <w:pStyle w:val="TableContents"/>
              <w:bidi w:val="0"/>
              <w:spacing w:before="0" w:after="283"/>
              <w:jc w:val="left"/>
              <w:rPr/>
            </w:pPr>
            <w:r>
              <w:rPr/>
              <w:t> </w:t>
            </w:r>
          </w:p>
        </w:tc>
        <w:tc>
          <w:tcPr>
            <w:tcW w:w="1802"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95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2" w:type="dxa"/>
            <w:tcBorders/>
            <w:shd w:fill="CCEEFF" w:val="clear"/>
            <w:tcMar>
              <w:bottom w:w="0" w:type="dxa"/>
            </w:tcMar>
            <w:vAlign w:val="bottom"/>
          </w:tcPr>
          <w:p>
            <w:pPr>
              <w:pStyle w:val="TableContents"/>
              <w:bidi w:val="0"/>
              <w:spacing w:before="0" w:after="283"/>
              <w:jc w:val="left"/>
              <w:rPr/>
            </w:pPr>
            <w:r>
              <w:rPr/>
              <w:t> </w:t>
            </w:r>
          </w:p>
        </w:tc>
        <w:tc>
          <w:tcPr>
            <w:tcW w:w="1648"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1834"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02" w:type="dxa"/>
            <w:tcBorders/>
            <w:shd w:fill="CCEEFF" w:val="clear"/>
            <w:tcMar>
              <w:bottom w:w="0" w:type="dxa"/>
            </w:tcMar>
            <w:vAlign w:val="bottom"/>
          </w:tcPr>
          <w:p>
            <w:pPr>
              <w:pStyle w:val="TableContents"/>
              <w:bidi w:val="0"/>
              <w:spacing w:before="0" w:after="283"/>
              <w:jc w:val="left"/>
              <w:rPr/>
            </w:pPr>
            <w:r>
              <w:rPr/>
              <w:t> </w:t>
            </w:r>
          </w:p>
        </w:tc>
        <w:tc>
          <w:tcPr>
            <w:tcW w:w="368"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105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w:t>
            </w:r>
          </w:p>
        </w:tc>
        <w:tc>
          <w:tcPr>
            <w:tcW w:w="9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470" w:type="dxa"/>
            <w:tcBorders>
              <w:bottom w:val="single" w:sz="12" w:space="0" w:color="000000"/>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Reclassification adjustment for realized loss to net loss</w:t>
            </w:r>
          </w:p>
        </w:tc>
        <w:tc>
          <w:tcPr>
            <w:tcW w:w="60" w:type="dxa"/>
            <w:tcBorders>
              <w:bottom w:val="single" w:sz="12" w:space="0" w:color="000000"/>
            </w:tcBorders>
            <w:vAlign w:val="bottom"/>
          </w:tcPr>
          <w:p>
            <w:pPr>
              <w:pStyle w:val="TableContents"/>
              <w:bidi w:val="0"/>
              <w:spacing w:before="0" w:after="283"/>
              <w:jc w:val="right"/>
              <w:rPr/>
            </w:pPr>
            <w:r>
              <w:rPr/>
              <w:t> </w:t>
            </w:r>
          </w:p>
        </w:tc>
        <w:tc>
          <w:tcPr>
            <w:tcW w:w="213" w:type="dxa"/>
            <w:tcBorders>
              <w:bottom w:val="single" w:sz="12" w:space="0" w:color="000000"/>
            </w:tcBorders>
            <w:vAlign w:val="bottom"/>
          </w:tcPr>
          <w:p>
            <w:pPr>
              <w:pStyle w:val="TableContents"/>
              <w:bidi w:val="0"/>
              <w:spacing w:before="0" w:after="283"/>
              <w:jc w:val="left"/>
              <w:rPr/>
            </w:pPr>
            <w:r>
              <w:rPr/>
              <w:t> </w:t>
            </w:r>
          </w:p>
        </w:tc>
        <w:tc>
          <w:tcPr>
            <w:tcW w:w="1802"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950"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42" w:type="dxa"/>
            <w:tcBorders>
              <w:bottom w:val="single" w:sz="12" w:space="0" w:color="000000"/>
            </w:tcBorders>
            <w:vAlign w:val="bottom"/>
          </w:tcPr>
          <w:p>
            <w:pPr>
              <w:pStyle w:val="TableContents"/>
              <w:bidi w:val="0"/>
              <w:spacing w:before="0" w:after="283"/>
              <w:jc w:val="left"/>
              <w:rPr/>
            </w:pPr>
            <w:r>
              <w:rPr/>
              <w:t> </w:t>
            </w:r>
          </w:p>
        </w:tc>
        <w:tc>
          <w:tcPr>
            <w:tcW w:w="1648"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226" w:type="dxa"/>
            <w:tcBorders>
              <w:bottom w:val="single" w:sz="12" w:space="0" w:color="000000"/>
            </w:tcBorders>
            <w:vAlign w:val="bottom"/>
          </w:tcPr>
          <w:p>
            <w:pPr>
              <w:pStyle w:val="TableContents"/>
              <w:bidi w:val="0"/>
              <w:spacing w:before="0" w:after="283"/>
              <w:jc w:val="left"/>
              <w:rPr/>
            </w:pPr>
            <w:r>
              <w:rPr/>
              <w:t> </w:t>
            </w:r>
          </w:p>
        </w:tc>
        <w:tc>
          <w:tcPr>
            <w:tcW w:w="1834"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02" w:type="dxa"/>
            <w:tcBorders>
              <w:bottom w:val="single" w:sz="12" w:space="0" w:color="000000"/>
            </w:tcBorders>
            <w:vAlign w:val="bottom"/>
          </w:tcPr>
          <w:p>
            <w:pPr>
              <w:pStyle w:val="TableContents"/>
              <w:bidi w:val="0"/>
              <w:spacing w:before="0" w:after="283"/>
              <w:jc w:val="left"/>
              <w:rPr/>
            </w:pPr>
            <w:r>
              <w:rPr/>
              <w:t> </w:t>
            </w:r>
          </w:p>
        </w:tc>
        <w:tc>
          <w:tcPr>
            <w:tcW w:w="368" w:type="dxa"/>
            <w:tcBorders>
              <w:bottom w:val="single" w:sz="12" w:space="0" w:color="000000"/>
            </w:tcBorders>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1055"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95" w:type="dxa"/>
            <w:tcBorders/>
            <w:tcMar>
              <w:bottom w:w="0" w:type="dxa"/>
            </w:tcMar>
            <w:vAlign w:val="bottom"/>
          </w:tcPr>
          <w:p>
            <w:pPr>
              <w:pStyle w:val="TableContents"/>
              <w:bidi w:val="0"/>
              <w:spacing w:before="0" w:after="283"/>
              <w:jc w:val="left"/>
              <w:rPr/>
            </w:pPr>
            <w:r>
              <w:rPr/>
              <w:t> </w:t>
            </w:r>
          </w:p>
        </w:tc>
      </w:tr>
      <w:tr>
        <w:trPr/>
        <w:tc>
          <w:tcPr>
            <w:tcW w:w="6470"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Comprehensive income (loss) from operations</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213" w:type="dxa"/>
            <w:tcBorders>
              <w:bottom w:val="single" w:sz="12" w:space="0" w:color="000000"/>
            </w:tcBorders>
            <w:shd w:fill="CCEEFF" w:val="clear"/>
            <w:vAlign w:val="bottom"/>
          </w:tcPr>
          <w:p>
            <w:pPr>
              <w:pStyle w:val="TableContents"/>
              <w:bidi w:val="0"/>
              <w:spacing w:before="0" w:after="283"/>
              <w:jc w:val="left"/>
              <w:rPr/>
            </w:pPr>
            <w:r>
              <w:rPr/>
              <w:t> </w:t>
            </w:r>
          </w:p>
        </w:tc>
        <w:tc>
          <w:tcPr>
            <w:tcW w:w="1802"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16,438</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950"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(1,461</w:t>
            </w:r>
          </w:p>
        </w:tc>
        <w:tc>
          <w:tcPr>
            <w:tcW w:w="80" w:type="dxa"/>
            <w:tcBorders>
              <w:bottom w:val="single" w:sz="12"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vAlign w:val="bottom"/>
          </w:tcPr>
          <w:p>
            <w:pPr>
              <w:pStyle w:val="TableContents"/>
              <w:bidi w:val="0"/>
              <w:spacing w:before="0" w:after="283"/>
              <w:jc w:val="left"/>
              <w:rPr/>
            </w:pPr>
            <w:r>
              <w:rPr/>
              <w:t> </w:t>
            </w:r>
          </w:p>
        </w:tc>
        <w:tc>
          <w:tcPr>
            <w:tcW w:w="1648"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14,977</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226" w:type="dxa"/>
            <w:tcBorders>
              <w:bottom w:val="single" w:sz="12" w:space="0" w:color="000000"/>
            </w:tcBorders>
            <w:shd w:fill="CCEEFF" w:val="clear"/>
            <w:vAlign w:val="bottom"/>
          </w:tcPr>
          <w:p>
            <w:pPr>
              <w:pStyle w:val="TableContents"/>
              <w:bidi w:val="0"/>
              <w:spacing w:before="0" w:after="283"/>
              <w:jc w:val="left"/>
              <w:rPr/>
            </w:pPr>
            <w:r>
              <w:rPr/>
              <w:t> </w:t>
            </w:r>
          </w:p>
        </w:tc>
        <w:tc>
          <w:tcPr>
            <w:tcW w:w="1834"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02" w:type="dxa"/>
            <w:tcBorders>
              <w:bottom w:val="single" w:sz="12" w:space="0" w:color="000000"/>
            </w:tcBorders>
            <w:shd w:fill="CCEEFF" w:val="clear"/>
            <w:vAlign w:val="bottom"/>
          </w:tcPr>
          <w:p>
            <w:pPr>
              <w:pStyle w:val="TableContents"/>
              <w:bidi w:val="0"/>
              <w:spacing w:before="0" w:after="283"/>
              <w:jc w:val="left"/>
              <w:rPr/>
            </w:pPr>
            <w:r>
              <w:rPr/>
              <w:t> </w:t>
            </w:r>
          </w:p>
        </w:tc>
        <w:tc>
          <w:tcPr>
            <w:tcW w:w="368"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1055" w:type="dxa"/>
            <w:tcBorders>
              <w:bottom w:val="single" w:sz="12"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14,977</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6470" w:type="dxa"/>
            <w:tcBorders/>
            <w:tcMar>
              <w:bottom w:w="0" w:type="dxa"/>
            </w:tcM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Net income (loss) attributable to noncontrolling interest</w:t>
            </w:r>
          </w:p>
        </w:tc>
        <w:tc>
          <w:tcPr>
            <w:tcW w:w="60" w:type="dxa"/>
            <w:tcBorders/>
            <w:tcMar>
              <w:bottom w:w="0" w:type="dxa"/>
            </w:tcMar>
            <w:vAlign w:val="bottom"/>
          </w:tcPr>
          <w:p>
            <w:pPr>
              <w:pStyle w:val="TableContents"/>
              <w:bidi w:val="0"/>
              <w:spacing w:before="0" w:after="283"/>
              <w:jc w:val="right"/>
              <w:rPr/>
            </w:pPr>
            <w:r>
              <w:rPr/>
              <w:t> </w:t>
            </w:r>
          </w:p>
        </w:tc>
        <w:tc>
          <w:tcPr>
            <w:tcW w:w="213" w:type="dxa"/>
            <w:tcBorders/>
            <w:tcMar>
              <w:bottom w:w="0" w:type="dxa"/>
            </w:tcMar>
            <w:vAlign w:val="bottom"/>
          </w:tcPr>
          <w:p>
            <w:pPr>
              <w:pStyle w:val="TableContents"/>
              <w:bidi w:val="0"/>
              <w:spacing w:before="0" w:after="283"/>
              <w:jc w:val="left"/>
              <w:rPr/>
            </w:pPr>
            <w:r>
              <w:rPr/>
              <w:t> </w:t>
            </w:r>
          </w:p>
        </w:tc>
        <w:tc>
          <w:tcPr>
            <w:tcW w:w="1802" w:type="dxa"/>
            <w:tcBorders/>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5,813</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950" w:type="dxa"/>
            <w:tcBorders/>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(721</w:t>
            </w:r>
          </w:p>
        </w:tc>
        <w:tc>
          <w:tcPr>
            <w:tcW w:w="80" w:type="dxa"/>
            <w:tcBorders/>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tcMar>
              <w:bottom w:w="0" w:type="dxa"/>
            </w:tcMar>
            <w:vAlign w:val="bottom"/>
          </w:tcPr>
          <w:p>
            <w:pPr>
              <w:pStyle w:val="TableContents"/>
              <w:bidi w:val="0"/>
              <w:spacing w:before="0" w:after="283"/>
              <w:jc w:val="right"/>
              <w:rPr/>
            </w:pPr>
            <w:r>
              <w:rPr/>
              <w:t> </w:t>
            </w:r>
          </w:p>
        </w:tc>
        <w:tc>
          <w:tcPr>
            <w:tcW w:w="142" w:type="dxa"/>
            <w:tcBorders/>
            <w:tcMar>
              <w:bottom w:w="0" w:type="dxa"/>
            </w:tcMar>
            <w:vAlign w:val="bottom"/>
          </w:tcPr>
          <w:p>
            <w:pPr>
              <w:pStyle w:val="TableContents"/>
              <w:bidi w:val="0"/>
              <w:spacing w:before="0" w:after="283"/>
              <w:jc w:val="left"/>
              <w:rPr/>
            </w:pPr>
            <w:r>
              <w:rPr/>
              <w:t> </w:t>
            </w:r>
          </w:p>
        </w:tc>
        <w:tc>
          <w:tcPr>
            <w:tcW w:w="1648" w:type="dxa"/>
            <w:tcBorders/>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5,092</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26" w:type="dxa"/>
            <w:tcBorders/>
            <w:tcMar>
              <w:bottom w:w="0" w:type="dxa"/>
            </w:tcMar>
            <w:vAlign w:val="bottom"/>
          </w:tcPr>
          <w:p>
            <w:pPr>
              <w:pStyle w:val="TableContents"/>
              <w:bidi w:val="0"/>
              <w:spacing w:before="0" w:after="283"/>
              <w:jc w:val="left"/>
              <w:rPr/>
            </w:pPr>
            <w:r>
              <w:rPr/>
              <w:t> </w:t>
            </w:r>
          </w:p>
        </w:tc>
        <w:tc>
          <w:tcPr>
            <w:tcW w:w="1834" w:type="dxa"/>
            <w:tcBorders/>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02" w:type="dxa"/>
            <w:tcBorders/>
            <w:tcMar>
              <w:bottom w:w="0" w:type="dxa"/>
            </w:tcMar>
            <w:vAlign w:val="bottom"/>
          </w:tcPr>
          <w:p>
            <w:pPr>
              <w:pStyle w:val="TableContents"/>
              <w:bidi w:val="0"/>
              <w:spacing w:before="0" w:after="283"/>
              <w:jc w:val="left"/>
              <w:rPr/>
            </w:pPr>
            <w:r>
              <w:rPr/>
              <w:t> </w:t>
            </w:r>
          </w:p>
        </w:tc>
        <w:tc>
          <w:tcPr>
            <w:tcW w:w="368"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1055" w:type="dxa"/>
            <w:tcBorders/>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5,092</w:t>
            </w:r>
          </w:p>
        </w:tc>
        <w:tc>
          <w:tcPr>
            <w:tcW w:w="95" w:type="dxa"/>
            <w:tcBorders/>
            <w:tcMar>
              <w:bottom w:w="0" w:type="dxa"/>
            </w:tcMar>
            <w:vAlign w:val="bottom"/>
          </w:tcPr>
          <w:p>
            <w:pPr>
              <w:pStyle w:val="TableContents"/>
              <w:bidi w:val="0"/>
              <w:spacing w:before="0" w:after="283"/>
              <w:jc w:val="left"/>
              <w:rPr/>
            </w:pPr>
            <w:r>
              <w:rPr/>
              <w:t> </w:t>
            </w:r>
          </w:p>
        </w:tc>
      </w:tr>
      <w:tr>
        <w:trPr/>
        <w:tc>
          <w:tcPr>
            <w:tcW w:w="6470" w:type="dxa"/>
            <w:tcBorders>
              <w:bottom w:val="single" w:sz="12" w:space="0" w:color="000000"/>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Foreign currency translation adjustments attributable to noncontrolling interest</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213" w:type="dxa"/>
            <w:tcBorders>
              <w:bottom w:val="single" w:sz="12" w:space="0" w:color="000000"/>
            </w:tcBorders>
            <w:shd w:fill="CCEEFF" w:val="clear"/>
            <w:vAlign w:val="bottom"/>
          </w:tcPr>
          <w:p>
            <w:pPr>
              <w:pStyle w:val="TableContents"/>
              <w:bidi w:val="0"/>
              <w:spacing w:before="0" w:after="283"/>
              <w:jc w:val="left"/>
              <w:rPr/>
            </w:pPr>
            <w:r>
              <w:rPr/>
              <w:t> </w:t>
            </w:r>
          </w:p>
        </w:tc>
        <w:tc>
          <w:tcPr>
            <w:tcW w:w="1802"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(507</w:t>
            </w:r>
          </w:p>
        </w:tc>
        <w:tc>
          <w:tcPr>
            <w:tcW w:w="80" w:type="dxa"/>
            <w:tcBorders>
              <w:bottom w:val="single" w:sz="12"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950"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vAlign w:val="bottom"/>
          </w:tcPr>
          <w:p>
            <w:pPr>
              <w:pStyle w:val="TableContents"/>
              <w:bidi w:val="0"/>
              <w:spacing w:before="0" w:after="283"/>
              <w:jc w:val="left"/>
              <w:rPr/>
            </w:pPr>
            <w:r>
              <w:rPr/>
              <w:t> </w:t>
            </w:r>
          </w:p>
        </w:tc>
        <w:tc>
          <w:tcPr>
            <w:tcW w:w="1648"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(507</w:t>
            </w:r>
          </w:p>
        </w:tc>
        <w:tc>
          <w:tcPr>
            <w:tcW w:w="80" w:type="dxa"/>
            <w:tcBorders>
              <w:bottom w:val="single" w:sz="12"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226" w:type="dxa"/>
            <w:tcBorders>
              <w:bottom w:val="single" w:sz="12" w:space="0" w:color="000000"/>
            </w:tcBorders>
            <w:shd w:fill="CCEEFF" w:val="clear"/>
            <w:vAlign w:val="bottom"/>
          </w:tcPr>
          <w:p>
            <w:pPr>
              <w:pStyle w:val="TableContents"/>
              <w:bidi w:val="0"/>
              <w:spacing w:before="0" w:after="283"/>
              <w:jc w:val="left"/>
              <w:rPr/>
            </w:pPr>
            <w:r>
              <w:rPr/>
              <w:t> </w:t>
            </w:r>
          </w:p>
        </w:tc>
        <w:tc>
          <w:tcPr>
            <w:tcW w:w="1834"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02" w:type="dxa"/>
            <w:tcBorders>
              <w:bottom w:val="single" w:sz="12" w:space="0" w:color="000000"/>
            </w:tcBorders>
            <w:shd w:fill="CCEEFF" w:val="clear"/>
            <w:vAlign w:val="bottom"/>
          </w:tcPr>
          <w:p>
            <w:pPr>
              <w:pStyle w:val="TableContents"/>
              <w:bidi w:val="0"/>
              <w:spacing w:before="0" w:after="283"/>
              <w:jc w:val="left"/>
              <w:rPr/>
            </w:pPr>
            <w:r>
              <w:rPr/>
              <w:t> </w:t>
            </w:r>
          </w:p>
        </w:tc>
        <w:tc>
          <w:tcPr>
            <w:tcW w:w="368" w:type="dxa"/>
            <w:tcBorders>
              <w:bottom w:val="single" w:sz="12" w:space="0" w:color="000000"/>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1055"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(507</w:t>
            </w:r>
          </w:p>
        </w:tc>
        <w:tc>
          <w:tcPr>
            <w:tcW w:w="9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470" w:type="dxa"/>
            <w:tcBorders>
              <w:bottom w:val="single" w:sz="12" w:space="0" w:color="000000"/>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Comprehensive income (loss) attributable to noncontrolling interest</w:t>
            </w:r>
          </w:p>
        </w:tc>
        <w:tc>
          <w:tcPr>
            <w:tcW w:w="60" w:type="dxa"/>
            <w:tcBorders>
              <w:bottom w:val="single" w:sz="12" w:space="0" w:color="000000"/>
            </w:tcBorders>
            <w:vAlign w:val="bottom"/>
          </w:tcPr>
          <w:p>
            <w:pPr>
              <w:pStyle w:val="TableContents"/>
              <w:bidi w:val="0"/>
              <w:spacing w:before="0" w:after="283"/>
              <w:jc w:val="right"/>
              <w:rPr/>
            </w:pPr>
            <w:r>
              <w:rPr/>
              <w:t> </w:t>
            </w:r>
          </w:p>
        </w:tc>
        <w:tc>
          <w:tcPr>
            <w:tcW w:w="213" w:type="dxa"/>
            <w:tcBorders>
              <w:bottom w:val="single" w:sz="12" w:space="0" w:color="000000"/>
            </w:tcBorders>
            <w:vAlign w:val="bottom"/>
          </w:tcPr>
          <w:p>
            <w:pPr>
              <w:pStyle w:val="TableContents"/>
              <w:bidi w:val="0"/>
              <w:spacing w:before="0" w:after="283"/>
              <w:jc w:val="left"/>
              <w:rPr/>
            </w:pPr>
            <w:r>
              <w:rPr/>
              <w:t> </w:t>
            </w:r>
          </w:p>
        </w:tc>
        <w:tc>
          <w:tcPr>
            <w:tcW w:w="1802"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5,306</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950"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(721</w:t>
            </w:r>
          </w:p>
        </w:tc>
        <w:tc>
          <w:tcPr>
            <w:tcW w:w="80"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vAlign w:val="bottom"/>
          </w:tcPr>
          <w:p>
            <w:pPr>
              <w:pStyle w:val="TableContents"/>
              <w:bidi w:val="0"/>
              <w:spacing w:before="0" w:after="283"/>
              <w:jc w:val="right"/>
              <w:rPr/>
            </w:pPr>
            <w:r>
              <w:rPr/>
              <w:t> </w:t>
            </w:r>
          </w:p>
        </w:tc>
        <w:tc>
          <w:tcPr>
            <w:tcW w:w="142" w:type="dxa"/>
            <w:tcBorders>
              <w:bottom w:val="single" w:sz="12" w:space="0" w:color="000000"/>
            </w:tcBorders>
            <w:vAlign w:val="bottom"/>
          </w:tcPr>
          <w:p>
            <w:pPr>
              <w:pStyle w:val="TableContents"/>
              <w:bidi w:val="0"/>
              <w:spacing w:before="0" w:after="283"/>
              <w:jc w:val="left"/>
              <w:rPr/>
            </w:pPr>
            <w:r>
              <w:rPr/>
              <w:t> </w:t>
            </w:r>
          </w:p>
        </w:tc>
        <w:tc>
          <w:tcPr>
            <w:tcW w:w="1648"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4,585</w:t>
            </w:r>
          </w:p>
        </w:tc>
        <w:tc>
          <w:tcPr>
            <w:tcW w:w="8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226" w:type="dxa"/>
            <w:tcBorders>
              <w:bottom w:val="single" w:sz="12" w:space="0" w:color="000000"/>
            </w:tcBorders>
            <w:vAlign w:val="bottom"/>
          </w:tcPr>
          <w:p>
            <w:pPr>
              <w:pStyle w:val="TableContents"/>
              <w:bidi w:val="0"/>
              <w:spacing w:before="0" w:after="283"/>
              <w:jc w:val="left"/>
              <w:rPr/>
            </w:pPr>
            <w:r>
              <w:rPr/>
              <w:t> </w:t>
            </w:r>
          </w:p>
        </w:tc>
        <w:tc>
          <w:tcPr>
            <w:tcW w:w="1834"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02" w:type="dxa"/>
            <w:tcBorders>
              <w:bottom w:val="single" w:sz="12" w:space="0" w:color="000000"/>
            </w:tcBorders>
            <w:vAlign w:val="bottom"/>
          </w:tcPr>
          <w:p>
            <w:pPr>
              <w:pStyle w:val="TableContents"/>
              <w:bidi w:val="0"/>
              <w:spacing w:before="0" w:after="283"/>
              <w:jc w:val="left"/>
              <w:rPr/>
            </w:pPr>
            <w:r>
              <w:rPr/>
              <w:t> </w:t>
            </w:r>
          </w:p>
        </w:tc>
        <w:tc>
          <w:tcPr>
            <w:tcW w:w="368" w:type="dxa"/>
            <w:tcBorders>
              <w:bottom w:val="single" w:sz="12" w:space="0" w:color="000000"/>
            </w:tcBorders>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60" w:type="dxa"/>
            <w:tcBorders>
              <w:bottom w:val="single" w:sz="12" w:space="0" w:color="000000"/>
            </w:tcBorders>
            <w:vAlign w:val="bottom"/>
          </w:tcPr>
          <w:p>
            <w:pPr>
              <w:pStyle w:val="TableContents"/>
              <w:bidi w:val="0"/>
              <w:spacing w:before="0" w:after="283"/>
              <w:jc w:val="righ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1055" w:type="dxa"/>
            <w:tcBorders>
              <w:bottom w:val="single" w:sz="12" w:space="0" w:color="000000"/>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4,585</w:t>
            </w:r>
          </w:p>
        </w:tc>
        <w:tc>
          <w:tcPr>
            <w:tcW w:w="95" w:type="dxa"/>
            <w:tcBorders/>
            <w:tcMar>
              <w:bottom w:w="0" w:type="dxa"/>
            </w:tcMar>
            <w:vAlign w:val="bottom"/>
          </w:tcPr>
          <w:p>
            <w:pPr>
              <w:pStyle w:val="TableContents"/>
              <w:bidi w:val="0"/>
              <w:spacing w:before="0" w:after="283"/>
              <w:jc w:val="left"/>
              <w:rPr/>
            </w:pPr>
            <w:r>
              <w:rPr/>
              <w:t> </w:t>
            </w:r>
          </w:p>
        </w:tc>
      </w:tr>
      <w:tr>
        <w:trPr/>
        <w:tc>
          <w:tcPr>
            <w:tcW w:w="6470" w:type="dxa"/>
            <w:tcBorders>
              <w:bottom w:val="double" w:sz="8" w:space="0" w:color="000000"/>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Comprehensive income (loss) attributable to common stockholders</w:t>
            </w:r>
          </w:p>
        </w:tc>
        <w:tc>
          <w:tcPr>
            <w:tcW w:w="60" w:type="dxa"/>
            <w:tcBorders>
              <w:bottom w:val="double" w:sz="8" w:space="0" w:color="000000"/>
            </w:tcBorders>
            <w:shd w:fill="CCEEFF" w:val="clear"/>
            <w:vAlign w:val="bottom"/>
          </w:tcPr>
          <w:p>
            <w:pPr>
              <w:pStyle w:val="TableContents"/>
              <w:bidi w:val="0"/>
              <w:spacing w:before="0" w:after="283"/>
              <w:jc w:val="right"/>
              <w:rPr/>
            </w:pPr>
            <w:r>
              <w:rPr/>
              <w:t> </w:t>
            </w:r>
          </w:p>
        </w:tc>
        <w:tc>
          <w:tcPr>
            <w:tcW w:w="213" w:type="dxa"/>
            <w:tcBorders>
              <w:bottom w:val="double" w:sz="8" w:space="0" w:color="000000"/>
            </w:tcBorders>
            <w:shd w:fill="CCEEFF" w:val="clear"/>
            <w:vAlign w:val="bottom"/>
          </w:tcPr>
          <w:p>
            <w:pPr>
              <w:pStyle w:val="TableContents"/>
              <w:bidi w:val="0"/>
              <w:spacing w:before="0" w:after="283"/>
              <w:jc w:val="left"/>
              <w:rPr/>
            </w:pPr>
            <w:r>
              <w:rPr/>
              <w:t> </w:t>
            </w:r>
          </w:p>
        </w:tc>
        <w:tc>
          <w:tcPr>
            <w:tcW w:w="1802" w:type="dxa"/>
            <w:tcBorders>
              <w:bottom w:val="double" w:sz="8"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11,132</w:t>
            </w:r>
          </w:p>
        </w:tc>
        <w:tc>
          <w:tcPr>
            <w:tcW w:w="80" w:type="dxa"/>
            <w:tcBorders>
              <w:bottom w:val="double" w:sz="8" w:space="0" w:color="000000"/>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vAlign w:val="bottom"/>
          </w:tcPr>
          <w:p>
            <w:pPr>
              <w:pStyle w:val="TableContents"/>
              <w:bidi w:val="0"/>
              <w:spacing w:before="0" w:after="283"/>
              <w:jc w:val="left"/>
              <w:rPr/>
            </w:pPr>
            <w:r>
              <w:rPr/>
              <w:t> </w:t>
            </w:r>
          </w:p>
        </w:tc>
        <w:tc>
          <w:tcPr>
            <w:tcW w:w="950" w:type="dxa"/>
            <w:tcBorders>
              <w:bottom w:val="double" w:sz="8"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(14,171</w:t>
            </w:r>
          </w:p>
        </w:tc>
        <w:tc>
          <w:tcPr>
            <w:tcW w:w="80" w:type="dxa"/>
            <w:tcBorders>
              <w:bottom w:val="double" w:sz="8"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double" w:sz="8" w:space="0" w:color="000000"/>
            </w:tcBorders>
            <w:shd w:fill="CCEEFF" w:val="clear"/>
            <w:vAlign w:val="bottom"/>
          </w:tcPr>
          <w:p>
            <w:pPr>
              <w:pStyle w:val="TableContents"/>
              <w:bidi w:val="0"/>
              <w:spacing w:before="0" w:after="283"/>
              <w:jc w:val="right"/>
              <w:rPr/>
            </w:pPr>
            <w:r>
              <w:rPr/>
              <w:t> </w:t>
            </w:r>
          </w:p>
        </w:tc>
        <w:tc>
          <w:tcPr>
            <w:tcW w:w="142" w:type="dxa"/>
            <w:tcBorders>
              <w:bottom w:val="double" w:sz="8" w:space="0" w:color="000000"/>
            </w:tcBorders>
            <w:shd w:fill="CCEEFF" w:val="clear"/>
            <w:vAlign w:val="bottom"/>
          </w:tcPr>
          <w:p>
            <w:pPr>
              <w:pStyle w:val="TableContents"/>
              <w:bidi w:val="0"/>
              <w:spacing w:before="0" w:after="283"/>
              <w:jc w:val="left"/>
              <w:rPr/>
            </w:pPr>
            <w:r>
              <w:rPr/>
              <w:t> </w:t>
            </w:r>
          </w:p>
        </w:tc>
        <w:tc>
          <w:tcPr>
            <w:tcW w:w="1648" w:type="dxa"/>
            <w:tcBorders>
              <w:bottom w:val="double" w:sz="8"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(3,039</w:t>
            </w:r>
          </w:p>
        </w:tc>
        <w:tc>
          <w:tcPr>
            <w:tcW w:w="80" w:type="dxa"/>
            <w:tcBorders>
              <w:bottom w:val="double" w:sz="8" w:space="0" w:color="000000"/>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double" w:sz="8" w:space="0" w:color="000000"/>
            </w:tcBorders>
            <w:shd w:fill="CCEEFF" w:val="clear"/>
            <w:vAlign w:val="bottom"/>
          </w:tcPr>
          <w:p>
            <w:pPr>
              <w:pStyle w:val="TableContents"/>
              <w:bidi w:val="0"/>
              <w:spacing w:before="0" w:after="283"/>
              <w:jc w:val="right"/>
              <w:rPr/>
            </w:pPr>
            <w:r>
              <w:rPr/>
              <w:t> </w:t>
            </w:r>
          </w:p>
        </w:tc>
        <w:tc>
          <w:tcPr>
            <w:tcW w:w="226" w:type="dxa"/>
            <w:tcBorders>
              <w:bottom w:val="double" w:sz="8" w:space="0" w:color="000000"/>
            </w:tcBorders>
            <w:shd w:fill="CCEEFF" w:val="clear"/>
            <w:vAlign w:val="bottom"/>
          </w:tcPr>
          <w:p>
            <w:pPr>
              <w:pStyle w:val="TableContents"/>
              <w:bidi w:val="0"/>
              <w:spacing w:before="0" w:after="283"/>
              <w:jc w:val="left"/>
              <w:rPr/>
            </w:pPr>
            <w:r>
              <w:rPr/>
              <w:t> </w:t>
            </w:r>
          </w:p>
        </w:tc>
        <w:tc>
          <w:tcPr>
            <w:tcW w:w="1834" w:type="dxa"/>
            <w:tcBorders>
              <w:bottom w:val="double" w:sz="8"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9,693</w:t>
            </w:r>
          </w:p>
        </w:tc>
        <w:tc>
          <w:tcPr>
            <w:tcW w:w="60" w:type="dxa"/>
            <w:tcBorders>
              <w:bottom w:val="double" w:sz="8" w:space="0" w:color="000000"/>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vAlign w:val="bottom"/>
          </w:tcPr>
          <w:p>
            <w:pPr>
              <w:pStyle w:val="TableContents"/>
              <w:bidi w:val="0"/>
              <w:spacing w:before="0" w:after="283"/>
              <w:jc w:val="right"/>
              <w:rPr/>
            </w:pPr>
            <w:r>
              <w:rPr/>
              <w:t> </w:t>
            </w:r>
          </w:p>
        </w:tc>
        <w:tc>
          <w:tcPr>
            <w:tcW w:w="102" w:type="dxa"/>
            <w:tcBorders>
              <w:bottom w:val="double" w:sz="8" w:space="0" w:color="000000"/>
            </w:tcBorders>
            <w:shd w:fill="CCEEFF" w:val="clear"/>
            <w:vAlign w:val="bottom"/>
          </w:tcPr>
          <w:p>
            <w:pPr>
              <w:pStyle w:val="TableContents"/>
              <w:bidi w:val="0"/>
              <w:spacing w:before="0" w:after="283"/>
              <w:jc w:val="left"/>
              <w:rPr/>
            </w:pPr>
            <w:r>
              <w:rPr/>
              <w:t> </w:t>
            </w:r>
          </w:p>
        </w:tc>
        <w:tc>
          <w:tcPr>
            <w:tcW w:w="368" w:type="dxa"/>
            <w:tcBorders>
              <w:bottom w:val="double" w:sz="8" w:space="0" w:color="000000"/>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vAlign w:val="bottom"/>
          </w:tcPr>
          <w:p>
            <w:pPr>
              <w:pStyle w:val="TableContents"/>
              <w:bidi w:val="0"/>
              <w:spacing w:before="0" w:after="283"/>
              <w:jc w:val="left"/>
              <w:rPr/>
            </w:pPr>
            <w:r>
              <w:rPr/>
              <w:t> </w:t>
            </w:r>
          </w:p>
        </w:tc>
        <w:tc>
          <w:tcPr>
            <w:tcW w:w="1055" w:type="dxa"/>
            <w:tcBorders>
              <w:bottom w:val="double" w:sz="8" w:space="0" w:color="000000"/>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6,654</w:t>
            </w:r>
          </w:p>
        </w:tc>
        <w:tc>
          <w:tcPr>
            <w:tcW w:w="9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center"/>
        <w:rPr>
          <w:i/>
        </w:rPr>
      </w:pPr>
      <w:r>
        <w:rPr>
          <w:i/>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See accompanying notes to the unaudited pro forma condensed combined financial information.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Unaudited Pro Forma Condensed Combined Financial Information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 Basis of Presentation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unaudited pro forma condensed combined financial information has been prepared in accordance with Article 11 of Regulation S-X and is derived from the historical consolidated financial statements of the Company and Cullgen. The unaudited pro forma condensed combined balance sheet gives effect to the acquisition of Cullgen by the Company as if the transaction had consummated on March 31, 2026. The unaudited pro forma condensed combined statements of operations for the three months ended March 31, 2026, and the year ended December 31, 2025, give effect to the Merger as if it had consummated on January 1, 2024. The unaudited pro forma condensed combined statement of operations for the year ended December 31, 2024, reflects the retrospective combination of entities under common control and excludes the ownership-attribution effects of the Company's acquisition/exchange of Cullgen interests held by parties other than GNI Japan, as described below.</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unaudited pro forma condensed combined financial information has been prepared for illustrative purposes only and is not necessarily indicative of the financial position or results of operations that would have been realized had the transaction been completed on the dates assumed, nor is it necessarily indicative of the future financial position or results of operations of the combined company. The unaudited pro forma condensed combined financial information does not include Management's Adjustments, as defined in Article 11 of Regulation S-X, including potential cost savings or other operational efficiencies that could result from the acquisition. Management has not identified material intercompany revenues, expenses, management services arrangements or other transactions between the Company and Cullgen requiring elimination or other Transaction Accounting Adjustments. The unaudited pro forma condensed combined financial information reflects Transaction Accounting Adjustments that depict, in the pro forma condensed combined balance sheet, the accounting for the Merger required by U.S. Generally Accepted Accounting Principles (“U.S. GAAP”) and, in the pro forma condensed combined statements of operations, the effects of the pro forma balance sheet adjustments assuming those adjustments were made as of January 1, 2024.</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Accounting Adjustments are based upon currently available information and assumptions that management believes are reasonable under the circumstances. Actual results may differ materially from those reflected in the unaudited pro forma condensed combined financial information. The accompanying notes describe the assumptions underlying and Transaction Accounting Adjustments reflected in the unaudited pro forma condensed combined financial information.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unaudited pro forma condensed combined financial information includes Cullgen's historical financial information derived from Cullgen's standalone U.S. GAAP financial statements. Management reviewed GNI Japan's historical carrying-basis information for Cullgen and did not identify acquisition-accounting basis differences, pushdown accounting adjustments or goodwill associated with Cullgen that would require adjustment to Cullgen's standalone financial statements for purposes of the unaudited pro forma condensed combined financial information. GNI Japan's historical consolidation records reflected a noncontrolling interest in Cullgen prior to the Merger; however, because the unaudited pro forma condensed combined balance sheet gives effect to the Company's acquisition of 100% of Cullgen as if the transaction had consummated as of the balance sheet date, any such historical noncontrolling interest would be eliminated in the pro forma presentation, with the offset reflected within equity. Accordingly, management has not separately presented or manually attributed a noncontrolling interest in Cullgen in the unaudited pro forma condensed combined financial information for the three months ended March 31, 2026 and the year ended December 31, 2025, respectively. Management concluded that any separate attribution and subsequent elimination of such historical noncontrolling interest would be presentational only and would not affect the final presentation of the combined company's pro forma assets, liabilities, total equity, results of operations before attribution, or cash flows. This presentation differs from the presentation expected in the Company's future periodic reports on Forms 10-Q and 10-K, in which the Company expects to retrospectively recast comparative periods prior to the Merger for periods during which the Company and Cullgen were under common control and to manually attribute the portion of Cullgen's historical equity and net income or loss attributable to ownership interests held by parties other than GNI Japan as noncontrolling interest.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the year ended December 31, 2024, which is an earlier annual period presented solely to reflect the retrospective combination of entities under common control, the Company disaggregated the Merger's accounting effects between (i) the common-control transfer of the Cullgen business to the Company and (ii) the acquisition/exchange of Cullgen interests held by parties other than GNI Japan. The 2024 unaudited pro forma condensed combined statement of operations reflects the common-control transfer and retains the historical attribution of Cullgen's net income or loss and preferred stock accretion to noncontrolling interests to the extent described in Note [G] but does not reflect the later ownership-attribution effects of the Company's acquisition/exchange of the non-GNI interests. Those ownership-attribution effects are reflected in the unaudited pro forma condensed combined statements of operations for the year ended December 31, 2025, and the three months ended March 31,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 Transaction Accounting Adjustments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Adjustments to the Unaudited Pro Forma Condensed Combined Balance Sheet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16"/>
        </w:rPr>
      </w:pPr>
      <w:r>
        <w:rPr>
          <w:rFonts w:ascii="Times New Roman" w:hAnsi="Times New Roman"/>
          <w:b/>
          <w:color w:val="000000"/>
          <w:sz w:val="20"/>
        </w:rPr>
        <w:t xml:space="preserve">[A] </w:t>
      </w:r>
      <w:r>
        <w:rPr>
          <w:rFonts w:ascii="Times New Roman" w:hAnsi="Times New Roman"/>
          <w:color w:val="000000"/>
          <w:sz w:val="20"/>
        </w:rPr>
        <w:t>Represents the elimination of the cumulative accretion recorded on Cullgen's redeemable convertible preferred stock and the corresponding adjustment to accumulated deficit. Because all outstanding shares of Cullgen redeemable convertible preferred stock were exchanged in the Merger and are not part of the post-transaction capital structure, the historical accretion previously recognized to adjust such securities to redemption value has been reversed for pro forma presentation purposes.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16"/>
        </w:rPr>
      </w:pPr>
      <w:r>
        <w:rPr>
          <w:rFonts w:ascii="Times New Roman" w:hAnsi="Times New Roman"/>
          <w:b/>
          <w:color w:val="000000"/>
          <w:sz w:val="20"/>
        </w:rPr>
        <w:t>[B]</w:t>
      </w:r>
      <w:r>
        <w:rPr>
          <w:rFonts w:ascii="Times New Roman" w:hAnsi="Times New Roman"/>
          <w:color w:val="000000"/>
          <w:sz w:val="16"/>
        </w:rPr>
        <w:t xml:space="preserve"> </w:t>
      </w:r>
      <w:r>
        <w:rPr>
          <w:rFonts w:ascii="Times New Roman" w:hAnsi="Times New Roman"/>
          <w:color w:val="000000"/>
          <w:sz w:val="20"/>
        </w:rPr>
        <w:t>Represents the accrual of approximately $0.3 million of additional transaction costs incurred by the Company subsequent to March 31, 2026, and prior to the Merger Closing Date. Because the unaudited pro forma condensed combined balance sheet gives effect to the Merger as if it had been consummated on March 31, 2026, the Transaction Accounting Adjustment reflects the transaction costs incurred in connection with the Merger as if such costs had been incurred and accrued as of March 31,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16"/>
        </w:rPr>
      </w:pPr>
      <w:r>
        <w:rPr>
          <w:rFonts w:ascii="Times New Roman" w:hAnsi="Times New Roman"/>
          <w:b/>
          <w:color w:val="000000"/>
          <w:sz w:val="20"/>
        </w:rPr>
        <w:t xml:space="preserve">[C] </w:t>
      </w:r>
      <w:r>
        <w:rPr>
          <w:rFonts w:ascii="Times New Roman" w:hAnsi="Times New Roman"/>
          <w:color w:val="000000"/>
          <w:sz w:val="20"/>
        </w:rPr>
        <w:t>Represents the elimination of Cullgen's historical redeemable convertible preferred stock, classified as mezzanine equity, and common stock. Pursuant to the Merger Agreement, all outstanding shares of Cullgen capital stock were exchanged for shares of the Company's common stock and Series B Convertible Preferred Stock at the effective time of the Merger. Accordingly, Cullgen's historical capital accounts were eliminated and the Company's post-transaction capital structure was reflected in the pro forma combined balance sheet.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16"/>
        </w:rPr>
      </w:pPr>
      <w:r>
        <w:rPr>
          <w:rFonts w:ascii="Times New Roman" w:hAnsi="Times New Roman"/>
          <w:b/>
          <w:color w:val="000000"/>
          <w:sz w:val="20"/>
        </w:rPr>
        <w:t xml:space="preserve">[D] </w:t>
      </w:r>
      <w:r>
        <w:rPr>
          <w:rFonts w:ascii="Times New Roman" w:hAnsi="Times New Roman"/>
          <w:color w:val="000000"/>
          <w:sz w:val="20"/>
        </w:rPr>
        <w:t>Represents the issuance of Company common stock and Series B Convertible Preferred Stock, classified as mezzanine equity, in exchange for all outstanding shares of Cullgen capital stock pursuant to the Merger Agreement. Consistent with the accounting for transfers of net assets between entities under common control, the equity interests issued have been recorded at an amount equal to the historical carrying value of Cullgen's net assets transferred to the Company. As a result, no step-up to fair value was recognized for the equity securities issued as merger consideration, regardless of whether the fair value of such securities was readily determinable.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Adjustments to the Unaudited Pro Forma Condensed Combined Statements of Operations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16"/>
        </w:rPr>
      </w:pPr>
      <w:r>
        <w:rPr>
          <w:rFonts w:ascii="Times New Roman" w:hAnsi="Times New Roman"/>
          <w:b/>
          <w:color w:val="000000"/>
          <w:sz w:val="20"/>
        </w:rPr>
        <w:t xml:space="preserve">[E] </w:t>
      </w:r>
      <w:r>
        <w:rPr>
          <w:rFonts w:ascii="Times New Roman" w:hAnsi="Times New Roman"/>
          <w:color w:val="000000"/>
          <w:sz w:val="20"/>
        </w:rPr>
        <w:t>Represents the accrual of additional transaction costs incurred by the Company subsequent to March 31, 2026. The remaining transaction costs of $2.6 million are included in the historical income statement of the Company for the three months ended March 31, 2026. These costs will not affect the Company's income statement beyond 12 months after the transaction date.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16"/>
        </w:rPr>
      </w:pPr>
      <w:r>
        <w:rPr>
          <w:rFonts w:ascii="Times New Roman" w:hAnsi="Times New Roman"/>
          <w:b/>
          <w:color w:val="000000"/>
          <w:sz w:val="20"/>
        </w:rPr>
        <w:t xml:space="preserve">[F] </w:t>
      </w:r>
      <w:r>
        <w:rPr>
          <w:rFonts w:ascii="Times New Roman" w:hAnsi="Times New Roman"/>
          <w:color w:val="000000"/>
          <w:sz w:val="20"/>
        </w:rPr>
        <w:t>Represents the elimination of historical accretion related to Cullgen's redeemable convertible preferred stock for the three months ended March 31, 2026, and the year ended December 31, 2025. In connection with the Merger, all outstanding shares of Cullgen redeemable convertible preferred stock were exchanged for shares of the Company's common stock or Series B Convertible Preferred Stock and ceased to be outstanding.</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As a result, the historical accretion to redemption value associated with such securities has been removed from those pro forma statements of operations because it relates to securities that were extinguished in the Merger and will not affect the combined company's results of operations following the Merger. See Note [G] for the treatment of Cullgen's historical preferred stock accretion for the year ended December 31, 2024.</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 xml:space="preserve">[G] </w:t>
      </w:r>
      <w:r>
        <w:rPr>
          <w:rFonts w:ascii="Times New Roman" w:hAnsi="Times New Roman"/>
          <w:b w:val="false"/>
          <w:color w:val="000000"/>
          <w:sz w:val="20"/>
        </w:rPr>
        <w:t>For the year ended December 31, 2024, the unaudited pro forma condensed combined statement of operations reflects the retrospective combination of entities under common control and excludes the ownership-attribution effects of the Company's acquisition/exchange of Cullgen interests held by parties other than GNI Japan. Accordingly, the adjustment to Cullgen's historical preferred stock accretion (i) eliminates accretion attributable to preferred shares held by GNI-controlled holders and (ii) allocates the portion of non-GNI preferred stock accretion not attributable to the Company's controlling common interest. The pro forma combined amount retains the portion of non-GNI preferred stock accretion allocable to the Company's controlling common interest. The calculation is as follows (in thousands):</w:t>
      </w:r>
      <w:r>
        <w:rPr>
          <w:rFonts w:ascii="Times New Roman" w:hAnsi="Times New Roman"/>
          <w:b/>
          <w:color w:val="000000"/>
          <w:sz w:val="20"/>
        </w:rPr>
        <w:t xml:space="preserve"> </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1" w:name="z43d32cd6700a48b1968ff0031c99849f"/>
      <w:bookmarkStart w:id="202" w:name="z43d32cd6700a48b1968ff0031c99849f"/>
      <w:bookmarkEnd w:id="202"/>
    </w:p>
    <w:tbl>
      <w:tblPr>
        <w:tblW w:w="8645" w:type="dxa"/>
        <w:jc w:val="center"/>
        <w:tblInd w:w="0" w:type="dxa"/>
        <w:tblLayout w:type="fixed"/>
        <w:tblCellMar>
          <w:top w:w="28" w:type="dxa"/>
          <w:left w:w="0" w:type="dxa"/>
          <w:bottom w:w="28" w:type="dxa"/>
          <w:right w:w="0" w:type="dxa"/>
        </w:tblCellMar>
      </w:tblPr>
      <w:tblGrid>
        <w:gridCol w:w="7805"/>
        <w:gridCol w:w="60"/>
        <w:gridCol w:w="110"/>
        <w:gridCol w:w="515"/>
        <w:gridCol w:w="155"/>
      </w:tblGrid>
      <w:tr>
        <w:trPr/>
        <w:tc>
          <w:tcPr>
            <w:tcW w:w="7805" w:type="dxa"/>
            <w:tcBorders>
              <w:top w:val="single" w:sz="12" w:space="0" w:color="000000"/>
              <w:bottom w:val="single" w:sz="12" w:space="0" w:color="000000"/>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Description</w:t>
            </w:r>
          </w:p>
        </w:tc>
        <w:tc>
          <w:tcPr>
            <w:tcW w:w="60" w:type="dxa"/>
            <w:tcBorders>
              <w:top w:val="single" w:sz="12" w:space="0" w:color="000000"/>
              <w:bottom w:val="single" w:sz="12" w:space="0" w:color="000000"/>
            </w:tcBorders>
            <w:vAlign w:val="bottom"/>
          </w:tcPr>
          <w:p>
            <w:pPr>
              <w:pStyle w:val="TableContents"/>
              <w:bidi w:val="0"/>
              <w:spacing w:before="0" w:after="283"/>
              <w:jc w:val="left"/>
              <w:rPr/>
            </w:pPr>
            <w:r>
              <w:rPr/>
              <w:t> </w:t>
            </w:r>
          </w:p>
        </w:tc>
        <w:tc>
          <w:tcPr>
            <w:tcW w:w="625" w:type="dxa"/>
            <w:gridSpan w:val="2"/>
            <w:tcBorders>
              <w:top w:val="single" w:sz="12" w:space="0" w:color="000000"/>
              <w:bottom w:val="single" w:sz="12" w:space="0" w:color="000000"/>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w:t>
            </w:r>
          </w:p>
        </w:tc>
        <w:tc>
          <w:tcPr>
            <w:tcW w:w="155" w:type="dxa"/>
            <w:tcBorders/>
            <w:tcMar>
              <w:top w:w="0" w:type="dxa"/>
              <w:bottom w:w="0" w:type="dxa"/>
            </w:tcMar>
            <w:vAlign w:val="bottom"/>
          </w:tcPr>
          <w:p>
            <w:pPr>
              <w:pStyle w:val="TableContents"/>
              <w:bidi w:val="0"/>
              <w:spacing w:before="0" w:after="283"/>
              <w:jc w:val="left"/>
              <w:rPr/>
            </w:pPr>
            <w:r>
              <w:rPr/>
              <w:t> </w:t>
            </w:r>
          </w:p>
        </w:tc>
      </w:tr>
      <w:tr>
        <w:trPr/>
        <w:tc>
          <w:tcPr>
            <w:tcW w:w="7805" w:type="dxa"/>
            <w:tcBorders>
              <w:bottom w:val="single" w:sz="12" w:space="0" w:color="000000"/>
            </w:tcBorders>
            <w:shd w:fill="CCEEFF" w:val="clear"/>
            <w:tcMar>
              <w:top w:w="0"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Cullgen historical accretion of redeemable convertible preferred stock (A)</w:t>
            </w:r>
          </w:p>
        </w:tc>
        <w:tc>
          <w:tcPr>
            <w:tcW w:w="60" w:type="dxa"/>
            <w:tcBorders>
              <w:bottom w:val="single" w:sz="12" w:space="0" w:color="000000"/>
            </w:tcBorders>
            <w:shd w:fill="CCEEFF" w:val="clear"/>
            <w:tcMar>
              <w:top w:w="0" w:type="dxa"/>
            </w:tcMar>
            <w:vAlign w:val="bottom"/>
          </w:tcPr>
          <w:p>
            <w:pPr>
              <w:pStyle w:val="TableContents"/>
              <w:bidi w:val="0"/>
              <w:spacing w:before="0" w:after="283"/>
              <w:jc w:val="right"/>
              <w:rPr/>
            </w:pPr>
            <w:r>
              <w:rPr/>
              <w:t> </w:t>
            </w:r>
          </w:p>
        </w:tc>
        <w:tc>
          <w:tcPr>
            <w:tcW w:w="110" w:type="dxa"/>
            <w:tcBorders>
              <w:bottom w:val="single" w:sz="12" w:space="0" w:color="000000"/>
            </w:tcBorders>
            <w:shd w:fill="CCEEFF" w:val="clear"/>
            <w:tcMar>
              <w:top w:w="0" w:type="dxa"/>
            </w:tcM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515" w:type="dxa"/>
            <w:tcBorders>
              <w:bottom w:val="single" w:sz="12" w:space="0" w:color="000000"/>
            </w:tcBorders>
            <w:shd w:fill="CCEEFF" w:val="clear"/>
            <w:tcMar>
              <w:top w:w="0" w:type="dxa"/>
            </w:tcMar>
            <w:vAlign w:val="bottom"/>
          </w:tcPr>
          <w:p>
            <w:pPr>
              <w:pStyle w:val="TableContents"/>
              <w:bidi w:val="0"/>
              <w:spacing w:before="0" w:after="0"/>
              <w:jc w:val="right"/>
              <w:rPr>
                <w:rFonts w:ascii="Times New Roman" w:hAnsi="Times New Roman"/>
                <w:sz w:val="16"/>
              </w:rPr>
            </w:pPr>
            <w:r>
              <w:rPr>
                <w:rFonts w:ascii="Times New Roman" w:hAnsi="Times New Roman"/>
                <w:sz w:val="16"/>
              </w:rPr>
              <w:t>13,431</w:t>
            </w:r>
          </w:p>
        </w:tc>
        <w:tc>
          <w:tcPr>
            <w:tcW w:w="155" w:type="dxa"/>
            <w:tcBorders/>
            <w:shd w:fill="CCEEFF" w:val="clear"/>
            <w:tcMar>
              <w:top w:w="0" w:type="dxa"/>
              <w:bottom w:w="0" w:type="dxa"/>
            </w:tcMar>
            <w:vAlign w:val="bottom"/>
          </w:tcPr>
          <w:p>
            <w:pPr>
              <w:pStyle w:val="TableContents"/>
              <w:bidi w:val="0"/>
              <w:spacing w:before="0" w:after="283"/>
              <w:jc w:val="left"/>
              <w:rPr/>
            </w:pPr>
            <w:r>
              <w:rPr/>
              <w:t> </w:t>
            </w:r>
          </w:p>
        </w:tc>
      </w:tr>
      <w:tr>
        <w:trPr/>
        <w:tc>
          <w:tcPr>
            <w:tcW w:w="7805" w:type="dxa"/>
            <w:tcBorders>
              <w:bottom w:val="single" w:sz="12" w:space="0" w:color="000000"/>
            </w:tcBorders>
            <w:tcMar>
              <w:top w:w="0"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Less: accretion attributable to GNI-held preferred shares (B)</w:t>
            </w:r>
          </w:p>
        </w:tc>
        <w:tc>
          <w:tcPr>
            <w:tcW w:w="60" w:type="dxa"/>
            <w:tcBorders>
              <w:bottom w:val="single" w:sz="12" w:space="0" w:color="000000"/>
            </w:tcBorders>
            <w:tcMar>
              <w:top w:w="0" w:type="dxa"/>
            </w:tcMar>
            <w:vAlign w:val="bottom"/>
          </w:tcPr>
          <w:p>
            <w:pPr>
              <w:pStyle w:val="TableContents"/>
              <w:bidi w:val="0"/>
              <w:spacing w:before="0" w:after="283"/>
              <w:jc w:val="right"/>
              <w:rPr/>
            </w:pPr>
            <w:r>
              <w:rPr/>
              <w:t> </w:t>
            </w:r>
          </w:p>
        </w:tc>
        <w:tc>
          <w:tcPr>
            <w:tcW w:w="110" w:type="dxa"/>
            <w:tcBorders>
              <w:bottom w:val="single" w:sz="12" w:space="0" w:color="000000"/>
            </w:tcBorders>
            <w:tcMar>
              <w:top w:w="0" w:type="dxa"/>
            </w:tcMar>
            <w:vAlign w:val="bottom"/>
          </w:tcPr>
          <w:p>
            <w:pPr>
              <w:pStyle w:val="TableContents"/>
              <w:bidi w:val="0"/>
              <w:spacing w:before="0" w:after="283"/>
              <w:jc w:val="left"/>
              <w:rPr/>
            </w:pPr>
            <w:r>
              <w:rPr/>
              <w:t> </w:t>
            </w:r>
          </w:p>
        </w:tc>
        <w:tc>
          <w:tcPr>
            <w:tcW w:w="515" w:type="dxa"/>
            <w:tcBorders>
              <w:bottom w:val="single" w:sz="12" w:space="0" w:color="000000"/>
            </w:tcBorders>
            <w:tcMar>
              <w:top w:w="0" w:type="dxa"/>
            </w:tcMar>
            <w:vAlign w:val="bottom"/>
          </w:tcPr>
          <w:p>
            <w:pPr>
              <w:pStyle w:val="TableContents"/>
              <w:bidi w:val="0"/>
              <w:spacing w:before="0" w:after="0"/>
              <w:jc w:val="right"/>
              <w:rPr>
                <w:rFonts w:ascii="Times New Roman" w:hAnsi="Times New Roman"/>
                <w:sz w:val="16"/>
              </w:rPr>
            </w:pPr>
            <w:r>
              <w:rPr>
                <w:rFonts w:ascii="Times New Roman" w:hAnsi="Times New Roman"/>
                <w:sz w:val="16"/>
              </w:rPr>
              <w:t>(3,722</w:t>
            </w:r>
          </w:p>
        </w:tc>
        <w:tc>
          <w:tcPr>
            <w:tcW w:w="155" w:type="dxa"/>
            <w:tcBorders/>
            <w:tcMar>
              <w:top w:w="0" w:type="dxa"/>
              <w:bottom w:w="0" w:type="dxa"/>
            </w:tcM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r>
      <w:tr>
        <w:trPr/>
        <w:tc>
          <w:tcPr>
            <w:tcW w:w="7805" w:type="dxa"/>
            <w:tcBorders>
              <w:bottom w:val="single" w:sz="12" w:space="0" w:color="000000"/>
            </w:tcBorders>
            <w:shd w:fill="CCEEFF" w:val="clear"/>
            <w:tcMar>
              <w:top w:w="0"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Non-GNI / NCI preferred stock accretion (C = A - B)</w:t>
            </w:r>
          </w:p>
        </w:tc>
        <w:tc>
          <w:tcPr>
            <w:tcW w:w="60" w:type="dxa"/>
            <w:tcBorders>
              <w:bottom w:val="single" w:sz="12" w:space="0" w:color="000000"/>
            </w:tcBorders>
            <w:shd w:fill="CCEEFF" w:val="clear"/>
            <w:tcMar>
              <w:top w:w="0" w:type="dxa"/>
            </w:tcMar>
            <w:vAlign w:val="bottom"/>
          </w:tcPr>
          <w:p>
            <w:pPr>
              <w:pStyle w:val="TableContents"/>
              <w:bidi w:val="0"/>
              <w:spacing w:before="0" w:after="283"/>
              <w:jc w:val="right"/>
              <w:rPr/>
            </w:pPr>
            <w:r>
              <w:rPr/>
              <w:t> </w:t>
            </w:r>
          </w:p>
        </w:tc>
        <w:tc>
          <w:tcPr>
            <w:tcW w:w="110" w:type="dxa"/>
            <w:tcBorders>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515" w:type="dxa"/>
            <w:tcBorders>
              <w:bottom w:val="single" w:sz="12" w:space="0" w:color="000000"/>
            </w:tcBorders>
            <w:shd w:fill="CCEEFF" w:val="clear"/>
            <w:tcMar>
              <w:top w:w="0" w:type="dxa"/>
            </w:tcMar>
            <w:vAlign w:val="bottom"/>
          </w:tcPr>
          <w:p>
            <w:pPr>
              <w:pStyle w:val="TableContents"/>
              <w:bidi w:val="0"/>
              <w:spacing w:before="0" w:after="0"/>
              <w:jc w:val="right"/>
              <w:rPr>
                <w:rFonts w:ascii="Times New Roman" w:hAnsi="Times New Roman"/>
                <w:sz w:val="16"/>
              </w:rPr>
            </w:pPr>
            <w:r>
              <w:rPr>
                <w:rFonts w:ascii="Times New Roman" w:hAnsi="Times New Roman"/>
                <w:sz w:val="16"/>
              </w:rPr>
              <w:t>9,709</w:t>
            </w:r>
          </w:p>
        </w:tc>
        <w:tc>
          <w:tcPr>
            <w:tcW w:w="155" w:type="dxa"/>
            <w:tcBorders/>
            <w:shd w:fill="CCEEFF" w:val="clear"/>
            <w:tcMar>
              <w:top w:w="0" w:type="dxa"/>
              <w:bottom w:w="0" w:type="dxa"/>
            </w:tcMar>
            <w:vAlign w:val="bottom"/>
          </w:tcPr>
          <w:p>
            <w:pPr>
              <w:pStyle w:val="TableContents"/>
              <w:bidi w:val="0"/>
              <w:spacing w:before="0" w:after="283"/>
              <w:jc w:val="left"/>
              <w:rPr/>
            </w:pPr>
            <w:r>
              <w:rPr/>
              <w:t> </w:t>
            </w:r>
          </w:p>
        </w:tc>
      </w:tr>
      <w:tr>
        <w:trPr/>
        <w:tc>
          <w:tcPr>
            <w:tcW w:w="7805" w:type="dxa"/>
            <w:tcBorders>
              <w:bottom w:val="single" w:sz="12" w:space="0" w:color="000000"/>
            </w:tcBorders>
            <w:tcMar>
              <w:top w:w="0"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GNI controlling common interest percentage</w:t>
            </w:r>
          </w:p>
        </w:tc>
        <w:tc>
          <w:tcPr>
            <w:tcW w:w="60" w:type="dxa"/>
            <w:tcBorders>
              <w:bottom w:val="single" w:sz="12" w:space="0" w:color="000000"/>
            </w:tcBorders>
            <w:tcMar>
              <w:top w:w="0" w:type="dxa"/>
            </w:tcMar>
            <w:vAlign w:val="bottom"/>
          </w:tcPr>
          <w:p>
            <w:pPr>
              <w:pStyle w:val="TableContents"/>
              <w:bidi w:val="0"/>
              <w:spacing w:before="0" w:after="283"/>
              <w:jc w:val="right"/>
              <w:rPr/>
            </w:pPr>
            <w:r>
              <w:rPr/>
              <w:t> </w:t>
            </w:r>
          </w:p>
        </w:tc>
        <w:tc>
          <w:tcPr>
            <w:tcW w:w="110" w:type="dxa"/>
            <w:tcBorders>
              <w:bottom w:val="single" w:sz="12" w:space="0" w:color="000000"/>
            </w:tcBorders>
            <w:tcMar>
              <w:top w:w="0" w:type="dxa"/>
            </w:tcMar>
            <w:vAlign w:val="bottom"/>
          </w:tcPr>
          <w:p>
            <w:pPr>
              <w:pStyle w:val="TableContents"/>
              <w:bidi w:val="0"/>
              <w:spacing w:before="0" w:after="283"/>
              <w:jc w:val="left"/>
              <w:rPr/>
            </w:pPr>
            <w:r>
              <w:rPr/>
              <w:t> </w:t>
            </w:r>
          </w:p>
        </w:tc>
        <w:tc>
          <w:tcPr>
            <w:tcW w:w="515" w:type="dxa"/>
            <w:tcBorders>
              <w:bottom w:val="single" w:sz="12" w:space="0" w:color="000000"/>
            </w:tcBorders>
            <w:tcMar>
              <w:top w:w="0" w:type="dxa"/>
            </w:tcMar>
            <w:vAlign w:val="bottom"/>
          </w:tcPr>
          <w:p>
            <w:pPr>
              <w:pStyle w:val="TableContents"/>
              <w:bidi w:val="0"/>
              <w:spacing w:before="0" w:after="0"/>
              <w:jc w:val="right"/>
              <w:rPr>
                <w:rFonts w:ascii="Times New Roman" w:hAnsi="Times New Roman"/>
                <w:sz w:val="16"/>
              </w:rPr>
            </w:pPr>
            <w:r>
              <w:rPr>
                <w:rFonts w:ascii="Times New Roman" w:hAnsi="Times New Roman"/>
                <w:sz w:val="16"/>
              </w:rPr>
              <w:t>38.5</w:t>
            </w:r>
          </w:p>
        </w:tc>
        <w:tc>
          <w:tcPr>
            <w:tcW w:w="155" w:type="dxa"/>
            <w:tcBorders/>
            <w:tcMar>
              <w:top w:w="0" w:type="dxa"/>
              <w:bottom w:w="0" w:type="dxa"/>
            </w:tcM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r>
      <w:tr>
        <w:trPr/>
        <w:tc>
          <w:tcPr>
            <w:tcW w:w="7805" w:type="dxa"/>
            <w:tcBorders>
              <w:bottom w:val="single" w:sz="12" w:space="0" w:color="000000"/>
            </w:tcBorders>
            <w:shd w:fill="CCEEFF" w:val="clear"/>
            <w:tcMar>
              <w:top w:w="0"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Non-GNI / NCI preferred stock accretion attributable to GNI controlling common interest (D = C x 38.5%)</w:t>
            </w:r>
          </w:p>
        </w:tc>
        <w:tc>
          <w:tcPr>
            <w:tcW w:w="60" w:type="dxa"/>
            <w:tcBorders>
              <w:bottom w:val="single" w:sz="12" w:space="0" w:color="000000"/>
            </w:tcBorders>
            <w:shd w:fill="CCEEFF" w:val="clear"/>
            <w:tcMar>
              <w:top w:w="0" w:type="dxa"/>
            </w:tcMar>
            <w:vAlign w:val="bottom"/>
          </w:tcPr>
          <w:p>
            <w:pPr>
              <w:pStyle w:val="TableContents"/>
              <w:bidi w:val="0"/>
              <w:spacing w:before="0" w:after="283"/>
              <w:jc w:val="right"/>
              <w:rPr/>
            </w:pPr>
            <w:r>
              <w:rPr/>
              <w:t> </w:t>
            </w:r>
          </w:p>
        </w:tc>
        <w:tc>
          <w:tcPr>
            <w:tcW w:w="110" w:type="dxa"/>
            <w:tcBorders>
              <w:bottom w:val="single" w:sz="12" w:space="0" w:color="000000"/>
            </w:tcBorders>
            <w:shd w:fill="CCEEFF" w:val="clear"/>
            <w:tcMar>
              <w:top w:w="0" w:type="dxa"/>
            </w:tcMar>
            <w:vAlign w:val="bottom"/>
          </w:tcPr>
          <w:p>
            <w:pPr>
              <w:pStyle w:val="TableContents"/>
              <w:bidi w:val="0"/>
              <w:spacing w:before="0" w:after="283"/>
              <w:jc w:val="left"/>
              <w:rPr/>
            </w:pPr>
            <w:r>
              <w:rPr/>
              <w:t> </w:t>
            </w:r>
          </w:p>
        </w:tc>
        <w:tc>
          <w:tcPr>
            <w:tcW w:w="515" w:type="dxa"/>
            <w:tcBorders>
              <w:bottom w:val="single" w:sz="12" w:space="0" w:color="000000"/>
            </w:tcBorders>
            <w:shd w:fill="CCEEFF" w:val="clear"/>
            <w:tcMar>
              <w:top w:w="0" w:type="dxa"/>
            </w:tcMar>
            <w:vAlign w:val="bottom"/>
          </w:tcPr>
          <w:p>
            <w:pPr>
              <w:pStyle w:val="TableContents"/>
              <w:bidi w:val="0"/>
              <w:spacing w:before="0" w:after="0"/>
              <w:jc w:val="right"/>
              <w:rPr>
                <w:rFonts w:ascii="Times New Roman" w:hAnsi="Times New Roman"/>
                <w:sz w:val="16"/>
              </w:rPr>
            </w:pPr>
            <w:r>
              <w:rPr>
                <w:rFonts w:ascii="Times New Roman" w:hAnsi="Times New Roman"/>
                <w:sz w:val="16"/>
              </w:rPr>
              <w:t>3,738</w:t>
            </w:r>
          </w:p>
        </w:tc>
        <w:tc>
          <w:tcPr>
            <w:tcW w:w="155" w:type="dxa"/>
            <w:tcBorders/>
            <w:shd w:fill="CCEEFF" w:val="clear"/>
            <w:tcMar>
              <w:top w:w="0" w:type="dxa"/>
              <w:bottom w:w="0" w:type="dxa"/>
            </w:tcMar>
            <w:vAlign w:val="bottom"/>
          </w:tcPr>
          <w:p>
            <w:pPr>
              <w:pStyle w:val="TableContents"/>
              <w:bidi w:val="0"/>
              <w:spacing w:before="0" w:after="283"/>
              <w:jc w:val="left"/>
              <w:rPr/>
            </w:pPr>
            <w:r>
              <w:rPr/>
              <w:t> </w:t>
            </w:r>
          </w:p>
        </w:tc>
      </w:tr>
      <w:tr>
        <w:trPr/>
        <w:tc>
          <w:tcPr>
            <w:tcW w:w="7805" w:type="dxa"/>
            <w:tcBorders>
              <w:bottom w:val="single" w:sz="12" w:space="0" w:color="000000"/>
            </w:tcBorders>
            <w:tcMar>
              <w:top w:w="0"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Non-GNI / NCI preferred stock accretion attributable to non-GNI common interests (E = C - D)</w:t>
            </w:r>
          </w:p>
        </w:tc>
        <w:tc>
          <w:tcPr>
            <w:tcW w:w="60" w:type="dxa"/>
            <w:tcBorders>
              <w:bottom w:val="single" w:sz="12" w:space="0" w:color="000000"/>
            </w:tcBorders>
            <w:tcMar>
              <w:top w:w="0" w:type="dxa"/>
            </w:tcMar>
            <w:vAlign w:val="bottom"/>
          </w:tcPr>
          <w:p>
            <w:pPr>
              <w:pStyle w:val="TableContents"/>
              <w:bidi w:val="0"/>
              <w:spacing w:before="0" w:after="283"/>
              <w:jc w:val="right"/>
              <w:rPr/>
            </w:pPr>
            <w:r>
              <w:rPr/>
              <w:t> </w:t>
            </w:r>
          </w:p>
        </w:tc>
        <w:tc>
          <w:tcPr>
            <w:tcW w:w="110" w:type="dxa"/>
            <w:tcBorders>
              <w:bottom w:val="single" w:sz="12" w:space="0" w:color="000000"/>
            </w:tcBorders>
            <w:tcMar>
              <w:top w:w="0" w:type="dxa"/>
            </w:tcMar>
            <w:vAlign w:val="bottom"/>
          </w:tcPr>
          <w:p>
            <w:pPr>
              <w:pStyle w:val="TableContents"/>
              <w:bidi w:val="0"/>
              <w:spacing w:before="0" w:after="283"/>
              <w:jc w:val="left"/>
              <w:rPr/>
            </w:pPr>
            <w:r>
              <w:rPr/>
              <w:t> </w:t>
            </w:r>
          </w:p>
        </w:tc>
        <w:tc>
          <w:tcPr>
            <w:tcW w:w="515" w:type="dxa"/>
            <w:tcBorders>
              <w:bottom w:val="single" w:sz="12" w:space="0" w:color="000000"/>
            </w:tcBorders>
            <w:tcMar>
              <w:top w:w="0" w:type="dxa"/>
            </w:tcMar>
            <w:vAlign w:val="bottom"/>
          </w:tcPr>
          <w:p>
            <w:pPr>
              <w:pStyle w:val="TableContents"/>
              <w:bidi w:val="0"/>
              <w:spacing w:before="0" w:after="0"/>
              <w:jc w:val="right"/>
              <w:rPr>
                <w:rFonts w:ascii="Times New Roman" w:hAnsi="Times New Roman"/>
                <w:sz w:val="16"/>
              </w:rPr>
            </w:pPr>
            <w:r>
              <w:rPr>
                <w:rFonts w:ascii="Times New Roman" w:hAnsi="Times New Roman"/>
                <w:sz w:val="16"/>
              </w:rPr>
              <w:t>5,971</w:t>
            </w:r>
          </w:p>
        </w:tc>
        <w:tc>
          <w:tcPr>
            <w:tcW w:w="155" w:type="dxa"/>
            <w:tcBorders/>
            <w:tcMar>
              <w:top w:w="0" w:type="dxa"/>
              <w:bottom w:w="0" w:type="dxa"/>
            </w:tcMar>
            <w:vAlign w:val="bottom"/>
          </w:tcPr>
          <w:p>
            <w:pPr>
              <w:pStyle w:val="TableContents"/>
              <w:bidi w:val="0"/>
              <w:spacing w:before="0" w:after="283"/>
              <w:jc w:val="left"/>
              <w:rPr/>
            </w:pPr>
            <w:r>
              <w:rPr/>
              <w:t> </w:t>
            </w:r>
          </w:p>
        </w:tc>
      </w:tr>
      <w:tr>
        <w:trPr/>
        <w:tc>
          <w:tcPr>
            <w:tcW w:w="7805" w:type="dxa"/>
            <w:tcBorders>
              <w:bottom w:val="single" w:sz="12" w:space="0" w:color="000000"/>
            </w:tcBorders>
            <w:shd w:fill="CCEEFF" w:val="clear"/>
            <w:tcMar>
              <w:top w:w="0"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Transaction Accounting Adjustment to preferred stock accretion line (B + E)</w:t>
            </w:r>
          </w:p>
        </w:tc>
        <w:tc>
          <w:tcPr>
            <w:tcW w:w="60" w:type="dxa"/>
            <w:tcBorders>
              <w:bottom w:val="single" w:sz="12" w:space="0" w:color="000000"/>
            </w:tcBorders>
            <w:shd w:fill="CCEEFF" w:val="clear"/>
            <w:tcMar>
              <w:top w:w="0" w:type="dxa"/>
            </w:tcMar>
            <w:vAlign w:val="bottom"/>
          </w:tcPr>
          <w:p>
            <w:pPr>
              <w:pStyle w:val="TableContents"/>
              <w:bidi w:val="0"/>
              <w:spacing w:before="0" w:after="283"/>
              <w:jc w:val="right"/>
              <w:rPr/>
            </w:pPr>
            <w:r>
              <w:rPr/>
              <w:t> </w:t>
            </w:r>
          </w:p>
        </w:tc>
        <w:tc>
          <w:tcPr>
            <w:tcW w:w="110" w:type="dxa"/>
            <w:tcBorders>
              <w:bottom w:val="single" w:sz="12" w:space="0" w:color="000000"/>
            </w:tcBorders>
            <w:shd w:fill="CCEEFF" w:val="clear"/>
            <w:tcMar>
              <w:top w:w="0" w:type="dxa"/>
            </w:tcMar>
            <w:vAlign w:val="bottom"/>
          </w:tcPr>
          <w:p>
            <w:pPr>
              <w:pStyle w:val="TableContents"/>
              <w:bidi w:val="0"/>
              <w:spacing w:before="0" w:after="0"/>
              <w:jc w:val="left"/>
              <w:rPr>
                <w:rFonts w:ascii="Times New Roman" w:hAnsi="Times New Roman"/>
                <w:sz w:val="16"/>
              </w:rPr>
            </w:pPr>
            <w:r>
              <w:rPr>
                <w:rFonts w:ascii="Times New Roman" w:hAnsi="Times New Roman"/>
                <w:sz w:val="16"/>
              </w:rPr>
              <w:t>$</w:t>
            </w:r>
          </w:p>
        </w:tc>
        <w:tc>
          <w:tcPr>
            <w:tcW w:w="515" w:type="dxa"/>
            <w:tcBorders>
              <w:bottom w:val="single" w:sz="12" w:space="0" w:color="000000"/>
            </w:tcBorders>
            <w:shd w:fill="CCEEFF" w:val="clear"/>
            <w:tcMar>
              <w:top w:w="0" w:type="dxa"/>
            </w:tcMar>
            <w:vAlign w:val="bottom"/>
          </w:tcPr>
          <w:p>
            <w:pPr>
              <w:pStyle w:val="TableContents"/>
              <w:bidi w:val="0"/>
              <w:spacing w:before="0" w:after="0"/>
              <w:jc w:val="right"/>
              <w:rPr>
                <w:rFonts w:ascii="Times New Roman" w:hAnsi="Times New Roman"/>
                <w:sz w:val="16"/>
              </w:rPr>
            </w:pPr>
            <w:r>
              <w:rPr>
                <w:rFonts w:ascii="Times New Roman" w:hAnsi="Times New Roman"/>
                <w:sz w:val="16"/>
              </w:rPr>
              <w:t>9,693</w:t>
            </w:r>
          </w:p>
        </w:tc>
        <w:tc>
          <w:tcPr>
            <w:tcW w:w="155" w:type="dxa"/>
            <w:tcBorders/>
            <w:shd w:fill="CCEEFF" w:val="clear"/>
            <w:tcMar>
              <w:top w:w="0" w:type="dxa"/>
              <w:bottom w:w="0" w:type="dxa"/>
            </w:tcM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3. Net Income (Loss) Per Share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presents the calculation of unaudited pro forma basic and diluted net income (loss) per share attributable to common stockholders and the weighted-average shares used in the calculations (in thousands, except share and per share data):</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03" w:name="z036532d5cbd74ca49b8e952240fefe26"/>
      <w:bookmarkStart w:id="204" w:name="z036532d5cbd74ca49b8e952240fefe26"/>
      <w:bookmarkEnd w:id="204"/>
    </w:p>
    <w:tbl>
      <w:tblPr>
        <w:tblW w:w="10205" w:type="dxa"/>
        <w:jc w:val="left"/>
        <w:tblInd w:w="0" w:type="dxa"/>
        <w:tblLayout w:type="fixed"/>
        <w:tblCellMar>
          <w:top w:w="28" w:type="dxa"/>
          <w:left w:w="0" w:type="dxa"/>
          <w:bottom w:w="28" w:type="dxa"/>
          <w:right w:w="0" w:type="dxa"/>
        </w:tblCellMar>
      </w:tblPr>
      <w:tblGrid>
        <w:gridCol w:w="3934"/>
        <w:gridCol w:w="60"/>
        <w:gridCol w:w="219"/>
        <w:gridCol w:w="1855"/>
        <w:gridCol w:w="80"/>
        <w:gridCol w:w="60"/>
        <w:gridCol w:w="196"/>
        <w:gridCol w:w="1662"/>
        <w:gridCol w:w="122"/>
        <w:gridCol w:w="60"/>
        <w:gridCol w:w="196"/>
        <w:gridCol w:w="1662"/>
        <w:gridCol w:w="99"/>
      </w:tblGrid>
      <w:tr>
        <w:trPr/>
        <w:tc>
          <w:tcPr>
            <w:tcW w:w="3934"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60" w:type="dxa"/>
            <w:tcBorders>
              <w:top w:val="single" w:sz="12" w:space="0" w:color="000000"/>
              <w:bottom w:val="single" w:sz="12" w:space="0" w:color="000000"/>
            </w:tcBorders>
            <w:tcMar>
              <w:bottom w:w="30" w:type="dxa"/>
            </w:tcMar>
            <w:vAlign w:val="center"/>
          </w:tcPr>
          <w:p>
            <w:pPr>
              <w:pStyle w:val="TableContents"/>
              <w:bidi w:val="0"/>
              <w:spacing w:before="0" w:after="283"/>
              <w:jc w:val="left"/>
              <w:rPr/>
            </w:pPr>
            <w:r>
              <w:rPr/>
              <w:t> </w:t>
            </w:r>
          </w:p>
        </w:tc>
        <w:tc>
          <w:tcPr>
            <w:tcW w:w="2074" w:type="dxa"/>
            <w:gridSpan w:val="2"/>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 March 31, 2026</w:t>
            </w:r>
          </w:p>
        </w:tc>
        <w:tc>
          <w:tcPr>
            <w:tcW w:w="80" w:type="dxa"/>
            <w:tcBorders>
              <w:top w:val="single" w:sz="12" w:space="0" w:color="000000"/>
              <w:bottom w:val="single" w:sz="12" w:space="0" w:color="000000"/>
            </w:tcBorders>
            <w:tcMar>
              <w:bottom w:w="30" w:type="dxa"/>
            </w:tcMar>
            <w:vAlign w:val="center"/>
          </w:tcPr>
          <w:p>
            <w:pPr>
              <w:pStyle w:val="TableContents"/>
              <w:bidi w:val="0"/>
              <w:spacing w:before="0" w:after="283"/>
              <w:jc w:val="center"/>
              <w:rPr/>
            </w:pPr>
            <w:r>
              <w:rPr/>
              <w:t> </w:t>
            </w:r>
          </w:p>
        </w:tc>
        <w:tc>
          <w:tcPr>
            <w:tcW w:w="60" w:type="dxa"/>
            <w:tcBorders>
              <w:top w:val="single" w:sz="12" w:space="0" w:color="000000"/>
              <w:bottom w:val="single" w:sz="12" w:space="0" w:color="000000"/>
            </w:tcBorders>
            <w:tcMar>
              <w:bottom w:w="30" w:type="dxa"/>
            </w:tcMar>
            <w:vAlign w:val="center"/>
          </w:tcPr>
          <w:p>
            <w:pPr>
              <w:pStyle w:val="TableContents"/>
              <w:bidi w:val="0"/>
              <w:spacing w:before="0" w:after="283"/>
              <w:jc w:val="center"/>
              <w:rPr/>
            </w:pPr>
            <w:r>
              <w:rPr/>
              <w:t> </w:t>
            </w:r>
          </w:p>
        </w:tc>
        <w:tc>
          <w:tcPr>
            <w:tcW w:w="1858" w:type="dxa"/>
            <w:gridSpan w:val="2"/>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Year Ended December 31, 2025</w:t>
            </w:r>
          </w:p>
        </w:tc>
        <w:tc>
          <w:tcPr>
            <w:tcW w:w="122" w:type="dxa"/>
            <w:tcBorders>
              <w:top w:val="single" w:sz="12" w:space="0" w:color="000000"/>
              <w:bottom w:val="single" w:sz="12" w:space="0" w:color="000000"/>
            </w:tcBorders>
            <w:tcMar>
              <w:bottom w:w="30" w:type="dxa"/>
            </w:tcMar>
            <w:vAlign w:val="center"/>
          </w:tcPr>
          <w:p>
            <w:pPr>
              <w:pStyle w:val="TableContents"/>
              <w:bidi w:val="0"/>
              <w:spacing w:before="0" w:after="283"/>
              <w:jc w:val="center"/>
              <w:rPr/>
            </w:pPr>
            <w:r>
              <w:rPr/>
              <w:t> </w:t>
            </w:r>
          </w:p>
        </w:tc>
        <w:tc>
          <w:tcPr>
            <w:tcW w:w="60" w:type="dxa"/>
            <w:tcBorders>
              <w:top w:val="single" w:sz="12" w:space="0" w:color="000000"/>
              <w:bottom w:val="single" w:sz="12" w:space="0" w:color="000000"/>
            </w:tcBorders>
            <w:tcMar>
              <w:bottom w:w="30" w:type="dxa"/>
            </w:tcMar>
            <w:vAlign w:val="center"/>
          </w:tcPr>
          <w:p>
            <w:pPr>
              <w:pStyle w:val="TableContents"/>
              <w:bidi w:val="0"/>
              <w:spacing w:before="0" w:after="283"/>
              <w:jc w:val="center"/>
              <w:rPr/>
            </w:pPr>
            <w:r>
              <w:rPr/>
              <w:t> </w:t>
            </w:r>
          </w:p>
        </w:tc>
        <w:tc>
          <w:tcPr>
            <w:tcW w:w="1858" w:type="dxa"/>
            <w:gridSpan w:val="2"/>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Year Ended December 31, 2024</w:t>
            </w:r>
          </w:p>
        </w:tc>
        <w:tc>
          <w:tcPr>
            <w:tcW w:w="99" w:type="dxa"/>
            <w:tcBorders>
              <w:top w:val="single" w:sz="12" w:space="0" w:color="000000"/>
              <w:bottom w:val="single" w:sz="12" w:space="0" w:color="000000"/>
            </w:tcBorders>
            <w:tcMar>
              <w:bottom w:w="30" w:type="dxa"/>
            </w:tcMar>
            <w:vAlign w:val="center"/>
          </w:tcPr>
          <w:p>
            <w:pPr>
              <w:pStyle w:val="TableContents"/>
              <w:bidi w:val="0"/>
              <w:spacing w:before="0" w:after="283"/>
              <w:jc w:val="left"/>
              <w:rPr/>
            </w:pPr>
            <w:r>
              <w:rPr/>
              <w:t> </w:t>
            </w:r>
          </w:p>
        </w:tc>
      </w:tr>
      <w:tr>
        <w:trPr/>
        <w:tc>
          <w:tcPr>
            <w:tcW w:w="3934" w:type="dxa"/>
            <w:tcBorders/>
            <w:tcMar>
              <w:top w:w="0" w:type="dxa"/>
              <w:bottom w:w="0" w:type="dxa"/>
            </w:tcM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Numerator:</w:t>
            </w:r>
          </w:p>
        </w:tc>
        <w:tc>
          <w:tcPr>
            <w:tcW w:w="60" w:type="dxa"/>
            <w:tcBorders/>
            <w:tcMar>
              <w:top w:w="0" w:type="dxa"/>
              <w:bottom w:w="0" w:type="dxa"/>
            </w:tcMar>
            <w:vAlign w:val="bottom"/>
          </w:tcPr>
          <w:p>
            <w:pPr>
              <w:pStyle w:val="TableContents"/>
              <w:bidi w:val="0"/>
              <w:spacing w:before="0" w:after="283"/>
              <w:jc w:val="left"/>
              <w:rPr/>
            </w:pPr>
            <w:r>
              <w:rPr/>
              <w:t> </w:t>
            </w:r>
          </w:p>
        </w:tc>
        <w:tc>
          <w:tcPr>
            <w:tcW w:w="2074" w:type="dxa"/>
            <w:gridSpan w:val="2"/>
            <w:tcBorders/>
            <w:tcMar>
              <w:top w:w="0" w:type="dxa"/>
              <w:bottom w:w="0" w:type="dxa"/>
            </w:tcMar>
            <w:vAlign w:val="bottom"/>
          </w:tcPr>
          <w:p>
            <w:pPr>
              <w:pStyle w:val="TableContents"/>
              <w:bidi w:val="0"/>
              <w:spacing w:before="0" w:after="283"/>
              <w:jc w:val="left"/>
              <w:rPr/>
            </w:pPr>
            <w:r>
              <w:rPr/>
              <w:t> </w:t>
            </w:r>
          </w:p>
        </w:tc>
        <w:tc>
          <w:tcPr>
            <w:tcW w:w="80" w:type="dxa"/>
            <w:tcBorders/>
            <w:tcMar>
              <w:top w:w="0" w:type="dxa"/>
              <w:bottom w:w="0" w:type="dxa"/>
            </w:tcMar>
            <w:vAlign w:val="bottom"/>
          </w:tcPr>
          <w:p>
            <w:pPr>
              <w:pStyle w:val="TableContents"/>
              <w:bidi w:val="0"/>
              <w:spacing w:before="0" w:after="283"/>
              <w:jc w:val="left"/>
              <w:rPr/>
            </w:pPr>
            <w:r>
              <w:rPr/>
              <w:t> </w:t>
            </w:r>
          </w:p>
        </w:tc>
        <w:tc>
          <w:tcPr>
            <w:tcW w:w="60" w:type="dxa"/>
            <w:tcBorders/>
            <w:tcMar>
              <w:top w:w="0" w:type="dxa"/>
              <w:bottom w:w="0" w:type="dxa"/>
            </w:tcMar>
            <w:vAlign w:val="bottom"/>
          </w:tcPr>
          <w:p>
            <w:pPr>
              <w:pStyle w:val="TableContents"/>
              <w:bidi w:val="0"/>
              <w:spacing w:before="0" w:after="283"/>
              <w:jc w:val="left"/>
              <w:rPr/>
            </w:pPr>
            <w:r>
              <w:rPr/>
              <w:t> </w:t>
            </w:r>
          </w:p>
        </w:tc>
        <w:tc>
          <w:tcPr>
            <w:tcW w:w="1858" w:type="dxa"/>
            <w:gridSpan w:val="2"/>
            <w:tcBorders/>
            <w:tcMar>
              <w:top w:w="0" w:type="dxa"/>
              <w:bottom w:w="0" w:type="dxa"/>
            </w:tcMar>
            <w:vAlign w:val="bottom"/>
          </w:tcPr>
          <w:p>
            <w:pPr>
              <w:pStyle w:val="TableContents"/>
              <w:bidi w:val="0"/>
              <w:spacing w:before="0" w:after="283"/>
              <w:jc w:val="left"/>
              <w:rPr/>
            </w:pPr>
            <w:r>
              <w:rPr/>
              <w:t> </w:t>
            </w:r>
          </w:p>
        </w:tc>
        <w:tc>
          <w:tcPr>
            <w:tcW w:w="122" w:type="dxa"/>
            <w:tcBorders/>
            <w:tcMar>
              <w:top w:w="0" w:type="dxa"/>
              <w:bottom w:w="0" w:type="dxa"/>
            </w:tcMar>
            <w:vAlign w:val="bottom"/>
          </w:tcPr>
          <w:p>
            <w:pPr>
              <w:pStyle w:val="TableContents"/>
              <w:bidi w:val="0"/>
              <w:spacing w:before="0" w:after="283"/>
              <w:jc w:val="left"/>
              <w:rPr/>
            </w:pPr>
            <w:r>
              <w:rPr/>
              <w:t> </w:t>
            </w:r>
          </w:p>
        </w:tc>
        <w:tc>
          <w:tcPr>
            <w:tcW w:w="60" w:type="dxa"/>
            <w:tcBorders/>
            <w:tcMar>
              <w:top w:w="0" w:type="dxa"/>
              <w:bottom w:w="0" w:type="dxa"/>
            </w:tcMar>
            <w:vAlign w:val="bottom"/>
          </w:tcPr>
          <w:p>
            <w:pPr>
              <w:pStyle w:val="TableContents"/>
              <w:bidi w:val="0"/>
              <w:spacing w:before="0" w:after="283"/>
              <w:jc w:val="left"/>
              <w:rPr/>
            </w:pPr>
            <w:r>
              <w:rPr/>
              <w:t> </w:t>
            </w:r>
          </w:p>
        </w:tc>
        <w:tc>
          <w:tcPr>
            <w:tcW w:w="1858" w:type="dxa"/>
            <w:gridSpan w:val="2"/>
            <w:tcBorders/>
            <w:tcMar>
              <w:top w:w="0" w:type="dxa"/>
              <w:bottom w:w="0" w:type="dxa"/>
            </w:tcMar>
            <w:vAlign w:val="bottom"/>
          </w:tcPr>
          <w:p>
            <w:pPr>
              <w:pStyle w:val="TableContents"/>
              <w:bidi w:val="0"/>
              <w:spacing w:before="0" w:after="283"/>
              <w:jc w:val="left"/>
              <w:rPr/>
            </w:pPr>
            <w:r>
              <w:rPr/>
              <w:t> </w:t>
            </w:r>
          </w:p>
        </w:tc>
        <w:tc>
          <w:tcPr>
            <w:tcW w:w="99" w:type="dxa"/>
            <w:tcBorders/>
            <w:tcMar>
              <w:top w:w="0" w:type="dxa"/>
              <w:bottom w:w="0" w:type="dxa"/>
            </w:tcMar>
            <w:vAlign w:val="bottom"/>
          </w:tcPr>
          <w:p>
            <w:pPr>
              <w:pStyle w:val="TableContents"/>
              <w:bidi w:val="0"/>
              <w:spacing w:before="0" w:after="283"/>
              <w:jc w:val="left"/>
              <w:rPr/>
            </w:pPr>
            <w:r>
              <w:rPr/>
              <w:t> </w:t>
            </w:r>
          </w:p>
        </w:tc>
      </w:tr>
      <w:tr>
        <w:trPr/>
        <w:tc>
          <w:tcPr>
            <w:tcW w:w="3934" w:type="dxa"/>
            <w:tcBorders/>
            <w:shd w:fill="CCEEFF" w:val="clear"/>
            <w:tcMar>
              <w:top w:w="0" w:type="dxa"/>
              <w:bottom w:w="0" w:type="dxa"/>
            </w:tcM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Historical combined net income (loss) available to common stockholders</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219"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855"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(21,346</w:t>
            </w:r>
          </w:p>
        </w:tc>
        <w:tc>
          <w:tcPr>
            <w:tcW w:w="80"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196"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662"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(20,579</w:t>
            </w:r>
          </w:p>
        </w:tc>
        <w:tc>
          <w:tcPr>
            <w:tcW w:w="122"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196"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662"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(1,798</w:t>
            </w:r>
          </w:p>
        </w:tc>
        <w:tc>
          <w:tcPr>
            <w:tcW w:w="99"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3934" w:type="dxa"/>
            <w:tcBorders/>
            <w:tcMar>
              <w:top w:w="0" w:type="dxa"/>
              <w:bottom w:w="0" w:type="dxa"/>
            </w:tcM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Transaction Accounting Adjustments:</w:t>
            </w:r>
          </w:p>
        </w:tc>
        <w:tc>
          <w:tcPr>
            <w:tcW w:w="60" w:type="dxa"/>
            <w:tcBorders/>
            <w:tcMar>
              <w:top w:w="0" w:type="dxa"/>
              <w:bottom w:w="0" w:type="dxa"/>
            </w:tcMar>
            <w:vAlign w:val="bottom"/>
          </w:tcPr>
          <w:p>
            <w:pPr>
              <w:pStyle w:val="TableContents"/>
              <w:bidi w:val="0"/>
              <w:spacing w:before="0" w:after="283"/>
              <w:jc w:val="left"/>
              <w:rPr/>
            </w:pPr>
            <w:r>
              <w:rPr/>
              <w:t> </w:t>
            </w:r>
          </w:p>
        </w:tc>
        <w:tc>
          <w:tcPr>
            <w:tcW w:w="219" w:type="dxa"/>
            <w:tcBorders/>
            <w:tcMar>
              <w:top w:w="0" w:type="dxa"/>
              <w:bottom w:w="0" w:type="dxa"/>
            </w:tcMar>
            <w:vAlign w:val="bottom"/>
          </w:tcPr>
          <w:p>
            <w:pPr>
              <w:pStyle w:val="TableContents"/>
              <w:bidi w:val="0"/>
              <w:spacing w:before="0" w:after="283"/>
              <w:jc w:val="left"/>
              <w:rPr/>
            </w:pPr>
            <w:r>
              <w:rPr/>
              <w:t> </w:t>
            </w:r>
          </w:p>
        </w:tc>
        <w:tc>
          <w:tcPr>
            <w:tcW w:w="1855" w:type="dxa"/>
            <w:tcBorders/>
            <w:tcMar>
              <w:top w:w="0" w:type="dxa"/>
              <w:bottom w:w="0" w:type="dxa"/>
            </w:tcMar>
            <w:vAlign w:val="bottom"/>
          </w:tcPr>
          <w:p>
            <w:pPr>
              <w:pStyle w:val="TableContents"/>
              <w:bidi w:val="0"/>
              <w:spacing w:before="0" w:after="283"/>
              <w:jc w:val="right"/>
              <w:rPr/>
            </w:pPr>
            <w:r>
              <w:rPr/>
              <w:t> </w:t>
            </w:r>
          </w:p>
        </w:tc>
        <w:tc>
          <w:tcPr>
            <w:tcW w:w="80" w:type="dxa"/>
            <w:tcBorders/>
            <w:tcMar>
              <w:top w:w="0" w:type="dxa"/>
              <w:bottom w:w="0" w:type="dxa"/>
            </w:tcMar>
            <w:vAlign w:val="bottom"/>
          </w:tcPr>
          <w:p>
            <w:pPr>
              <w:pStyle w:val="TableContents"/>
              <w:bidi w:val="0"/>
              <w:spacing w:before="0" w:after="283"/>
              <w:jc w:val="left"/>
              <w:rPr/>
            </w:pPr>
            <w:r>
              <w:rPr/>
              <w:t> </w:t>
            </w:r>
          </w:p>
        </w:tc>
        <w:tc>
          <w:tcPr>
            <w:tcW w:w="60" w:type="dxa"/>
            <w:tcBorders/>
            <w:tcMar>
              <w:top w:w="0" w:type="dxa"/>
              <w:bottom w:w="0" w:type="dxa"/>
            </w:tcMar>
            <w:vAlign w:val="bottom"/>
          </w:tcPr>
          <w:p>
            <w:pPr>
              <w:pStyle w:val="TableContents"/>
              <w:bidi w:val="0"/>
              <w:spacing w:before="0" w:after="283"/>
              <w:jc w:val="left"/>
              <w:rPr/>
            </w:pPr>
            <w:r>
              <w:rPr/>
              <w:t> </w:t>
            </w:r>
          </w:p>
        </w:tc>
        <w:tc>
          <w:tcPr>
            <w:tcW w:w="196" w:type="dxa"/>
            <w:tcBorders/>
            <w:tcMar>
              <w:top w:w="0" w:type="dxa"/>
              <w:bottom w:w="0" w:type="dxa"/>
            </w:tcMar>
            <w:vAlign w:val="bottom"/>
          </w:tcPr>
          <w:p>
            <w:pPr>
              <w:pStyle w:val="TableContents"/>
              <w:bidi w:val="0"/>
              <w:spacing w:before="0" w:after="283"/>
              <w:jc w:val="left"/>
              <w:rPr/>
            </w:pPr>
            <w:r>
              <w:rPr/>
              <w:t> </w:t>
            </w:r>
          </w:p>
        </w:tc>
        <w:tc>
          <w:tcPr>
            <w:tcW w:w="1662" w:type="dxa"/>
            <w:tcBorders/>
            <w:tcMar>
              <w:top w:w="0" w:type="dxa"/>
              <w:bottom w:w="0" w:type="dxa"/>
            </w:tcMar>
            <w:vAlign w:val="bottom"/>
          </w:tcPr>
          <w:p>
            <w:pPr>
              <w:pStyle w:val="TableContents"/>
              <w:bidi w:val="0"/>
              <w:spacing w:before="0" w:after="283"/>
              <w:jc w:val="right"/>
              <w:rPr/>
            </w:pPr>
            <w:r>
              <w:rPr/>
              <w:t> </w:t>
            </w:r>
          </w:p>
        </w:tc>
        <w:tc>
          <w:tcPr>
            <w:tcW w:w="122" w:type="dxa"/>
            <w:tcBorders/>
            <w:tcMar>
              <w:top w:w="0" w:type="dxa"/>
              <w:bottom w:w="0" w:type="dxa"/>
            </w:tcMar>
            <w:vAlign w:val="bottom"/>
          </w:tcPr>
          <w:p>
            <w:pPr>
              <w:pStyle w:val="TableContents"/>
              <w:bidi w:val="0"/>
              <w:spacing w:before="0" w:after="283"/>
              <w:jc w:val="left"/>
              <w:rPr/>
            </w:pPr>
            <w:r>
              <w:rPr/>
              <w:t> </w:t>
            </w:r>
          </w:p>
        </w:tc>
        <w:tc>
          <w:tcPr>
            <w:tcW w:w="60" w:type="dxa"/>
            <w:tcBorders/>
            <w:tcMar>
              <w:top w:w="0" w:type="dxa"/>
              <w:bottom w:w="0" w:type="dxa"/>
            </w:tcMar>
            <w:vAlign w:val="bottom"/>
          </w:tcPr>
          <w:p>
            <w:pPr>
              <w:pStyle w:val="TableContents"/>
              <w:bidi w:val="0"/>
              <w:spacing w:before="0" w:after="283"/>
              <w:jc w:val="left"/>
              <w:rPr/>
            </w:pPr>
            <w:r>
              <w:rPr/>
              <w:t> </w:t>
            </w:r>
          </w:p>
        </w:tc>
        <w:tc>
          <w:tcPr>
            <w:tcW w:w="196" w:type="dxa"/>
            <w:tcBorders/>
            <w:tcMar>
              <w:top w:w="0" w:type="dxa"/>
              <w:bottom w:w="0" w:type="dxa"/>
            </w:tcMar>
            <w:vAlign w:val="bottom"/>
          </w:tcPr>
          <w:p>
            <w:pPr>
              <w:pStyle w:val="TableContents"/>
              <w:bidi w:val="0"/>
              <w:spacing w:before="0" w:after="283"/>
              <w:jc w:val="left"/>
              <w:rPr/>
            </w:pPr>
            <w:r>
              <w:rPr/>
              <w:t> </w:t>
            </w:r>
          </w:p>
        </w:tc>
        <w:tc>
          <w:tcPr>
            <w:tcW w:w="1662" w:type="dxa"/>
            <w:tcBorders/>
            <w:tcMar>
              <w:top w:w="0" w:type="dxa"/>
              <w:bottom w:w="0" w:type="dxa"/>
            </w:tcMar>
            <w:vAlign w:val="bottom"/>
          </w:tcPr>
          <w:p>
            <w:pPr>
              <w:pStyle w:val="TableContents"/>
              <w:bidi w:val="0"/>
              <w:spacing w:before="0" w:after="283"/>
              <w:jc w:val="right"/>
              <w:rPr/>
            </w:pPr>
            <w:r>
              <w:rPr/>
              <w:t> </w:t>
            </w:r>
          </w:p>
        </w:tc>
        <w:tc>
          <w:tcPr>
            <w:tcW w:w="99" w:type="dxa"/>
            <w:tcBorders/>
            <w:tcMar>
              <w:top w:w="0" w:type="dxa"/>
              <w:bottom w:w="0" w:type="dxa"/>
            </w:tcMar>
            <w:vAlign w:val="bottom"/>
          </w:tcPr>
          <w:p>
            <w:pPr>
              <w:pStyle w:val="TableContents"/>
              <w:bidi w:val="0"/>
              <w:spacing w:before="0" w:after="283"/>
              <w:jc w:val="left"/>
              <w:rPr/>
            </w:pPr>
            <w:r>
              <w:rPr/>
              <w:t> </w:t>
            </w:r>
          </w:p>
        </w:tc>
      </w:tr>
      <w:tr>
        <w:trPr/>
        <w:tc>
          <w:tcPr>
            <w:tcW w:w="3934" w:type="dxa"/>
            <w:tcBorders/>
            <w:shd w:fill="CCEEFF" w:val="clear"/>
            <w:tcMar>
              <w:top w:w="0" w:type="dxa"/>
              <w:bottom w:w="0" w:type="dxa"/>
            </w:tcM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Adjustment to accretion of redeemable convertible preferred stock</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219" w:type="dxa"/>
            <w:tcBorders/>
            <w:shd w:fill="CCEEFF" w:val="clear"/>
            <w:tcMar>
              <w:top w:w="0" w:type="dxa"/>
              <w:bottom w:w="0" w:type="dxa"/>
            </w:tcMar>
            <w:vAlign w:val="bottom"/>
          </w:tcPr>
          <w:p>
            <w:pPr>
              <w:pStyle w:val="TableContents"/>
              <w:bidi w:val="0"/>
              <w:spacing w:before="0" w:after="283"/>
              <w:jc w:val="left"/>
              <w:rPr/>
            </w:pPr>
            <w:r>
              <w:rPr/>
              <w:t> </w:t>
            </w:r>
          </w:p>
        </w:tc>
        <w:tc>
          <w:tcPr>
            <w:tcW w:w="1855"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3,936</w:t>
            </w:r>
          </w:p>
        </w:tc>
        <w:tc>
          <w:tcPr>
            <w:tcW w:w="80" w:type="dxa"/>
            <w:tcBorders/>
            <w:shd w:fill="CCEEFF" w:val="clear"/>
            <w:tcMar>
              <w:top w:w="0" w:type="dxa"/>
              <w:bottom w:w="0" w:type="dxa"/>
            </w:tcMar>
            <w:vAlign w:val="bottom"/>
          </w:tcPr>
          <w:p>
            <w:pPr>
              <w:pStyle w:val="TableContents"/>
              <w:bidi w:val="0"/>
              <w:spacing w:before="0" w:after="283"/>
              <w:jc w:val="left"/>
              <w:rPr/>
            </w:pPr>
            <w:r>
              <w:rPr/>
              <w:t> </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196" w:type="dxa"/>
            <w:tcBorders/>
            <w:shd w:fill="CCEEFF" w:val="clear"/>
            <w:tcMar>
              <w:top w:w="0" w:type="dxa"/>
              <w:bottom w:w="0" w:type="dxa"/>
            </w:tcMar>
            <w:vAlign w:val="bottom"/>
          </w:tcPr>
          <w:p>
            <w:pPr>
              <w:pStyle w:val="TableContents"/>
              <w:bidi w:val="0"/>
              <w:spacing w:before="0" w:after="283"/>
              <w:jc w:val="left"/>
              <w:rPr/>
            </w:pPr>
            <w:r>
              <w:rPr/>
              <w:t> </w:t>
            </w:r>
          </w:p>
        </w:tc>
        <w:tc>
          <w:tcPr>
            <w:tcW w:w="1662"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14,801</w:t>
            </w:r>
          </w:p>
        </w:tc>
        <w:tc>
          <w:tcPr>
            <w:tcW w:w="122" w:type="dxa"/>
            <w:tcBorders/>
            <w:shd w:fill="CCEEFF" w:val="clear"/>
            <w:tcMar>
              <w:top w:w="0" w:type="dxa"/>
              <w:bottom w:w="0" w:type="dxa"/>
            </w:tcMar>
            <w:vAlign w:val="bottom"/>
          </w:tcPr>
          <w:p>
            <w:pPr>
              <w:pStyle w:val="TableContents"/>
              <w:bidi w:val="0"/>
              <w:spacing w:before="0" w:after="283"/>
              <w:jc w:val="left"/>
              <w:rPr/>
            </w:pPr>
            <w:r>
              <w:rPr/>
              <w:t> </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196" w:type="dxa"/>
            <w:tcBorders/>
            <w:shd w:fill="CCEEFF" w:val="clear"/>
            <w:tcMar>
              <w:top w:w="0" w:type="dxa"/>
              <w:bottom w:w="0" w:type="dxa"/>
            </w:tcMar>
            <w:vAlign w:val="bottom"/>
          </w:tcPr>
          <w:p>
            <w:pPr>
              <w:pStyle w:val="TableContents"/>
              <w:bidi w:val="0"/>
              <w:spacing w:before="0" w:after="283"/>
              <w:jc w:val="left"/>
              <w:rPr/>
            </w:pPr>
            <w:r>
              <w:rPr/>
              <w:t> </w:t>
            </w:r>
          </w:p>
        </w:tc>
        <w:tc>
          <w:tcPr>
            <w:tcW w:w="1662"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9,693</w:t>
            </w:r>
          </w:p>
        </w:tc>
        <w:tc>
          <w:tcPr>
            <w:tcW w:w="99" w:type="dxa"/>
            <w:tcBorders/>
            <w:shd w:fill="CCEEFF" w:val="clear"/>
            <w:tcMar>
              <w:top w:w="0" w:type="dxa"/>
              <w:bottom w:w="0" w:type="dxa"/>
            </w:tcMar>
            <w:vAlign w:val="bottom"/>
          </w:tcPr>
          <w:p>
            <w:pPr>
              <w:pStyle w:val="TableContents"/>
              <w:bidi w:val="0"/>
              <w:spacing w:before="0" w:after="283"/>
              <w:jc w:val="left"/>
              <w:rPr/>
            </w:pPr>
            <w:r>
              <w:rPr/>
              <w:t> </w:t>
            </w:r>
          </w:p>
        </w:tc>
      </w:tr>
      <w:tr>
        <w:trPr/>
        <w:tc>
          <w:tcPr>
            <w:tcW w:w="3934" w:type="dxa"/>
            <w:tcBorders>
              <w:bottom w:val="single" w:sz="12" w:space="0" w:color="000000"/>
            </w:tcBorders>
            <w:tcMar>
              <w:top w:w="0" w:type="dxa"/>
            </w:tcMar>
            <w:vAlign w:val="center"/>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Transaction costs</w:t>
            </w:r>
          </w:p>
        </w:tc>
        <w:tc>
          <w:tcPr>
            <w:tcW w:w="60" w:type="dxa"/>
            <w:tcBorders>
              <w:bottom w:val="single" w:sz="12" w:space="0" w:color="000000"/>
            </w:tcBorders>
            <w:tcMar>
              <w:top w:w="0" w:type="dxa"/>
            </w:tcMar>
            <w:vAlign w:val="center"/>
          </w:tcPr>
          <w:p>
            <w:pPr>
              <w:pStyle w:val="TableContents"/>
              <w:bidi w:val="0"/>
              <w:spacing w:before="0" w:after="283"/>
              <w:jc w:val="left"/>
              <w:rPr/>
            </w:pPr>
            <w:r>
              <w:rPr/>
              <w:t> </w:t>
            </w:r>
          </w:p>
        </w:tc>
        <w:tc>
          <w:tcPr>
            <w:tcW w:w="219" w:type="dxa"/>
            <w:tcBorders>
              <w:bottom w:val="single" w:sz="12" w:space="0" w:color="000000"/>
            </w:tcBorders>
            <w:tcMar>
              <w:top w:w="0" w:type="dxa"/>
            </w:tcMar>
            <w:vAlign w:val="center"/>
          </w:tcPr>
          <w:p>
            <w:pPr>
              <w:pStyle w:val="TableContents"/>
              <w:bidi w:val="0"/>
              <w:spacing w:before="0" w:after="283"/>
              <w:jc w:val="left"/>
              <w:rPr/>
            </w:pPr>
            <w:r>
              <w:rPr/>
              <w:t> </w:t>
            </w:r>
          </w:p>
        </w:tc>
        <w:tc>
          <w:tcPr>
            <w:tcW w:w="1855"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80" w:type="dxa"/>
            <w:tcBorders>
              <w:bottom w:val="single" w:sz="12" w:space="0" w:color="000000"/>
            </w:tcBorders>
            <w:tcMar>
              <w:top w:w="0" w:type="dxa"/>
            </w:tcMar>
            <w:vAlign w:val="center"/>
          </w:tcPr>
          <w:p>
            <w:pPr>
              <w:pStyle w:val="TableContents"/>
              <w:bidi w:val="0"/>
              <w:spacing w:before="0" w:after="283"/>
              <w:jc w:val="left"/>
              <w:rPr/>
            </w:pPr>
            <w:r>
              <w:rPr/>
              <w:t> </w:t>
            </w:r>
          </w:p>
        </w:tc>
        <w:tc>
          <w:tcPr>
            <w:tcW w:w="60" w:type="dxa"/>
            <w:tcBorders>
              <w:bottom w:val="single" w:sz="12" w:space="0" w:color="000000"/>
            </w:tcBorders>
            <w:tcMar>
              <w:top w:w="0" w:type="dxa"/>
            </w:tcMar>
            <w:vAlign w:val="center"/>
          </w:tcPr>
          <w:p>
            <w:pPr>
              <w:pStyle w:val="TableContents"/>
              <w:bidi w:val="0"/>
              <w:spacing w:before="0" w:after="283"/>
              <w:jc w:val="left"/>
              <w:rPr/>
            </w:pPr>
            <w:r>
              <w:rPr/>
              <w:t> </w:t>
            </w:r>
          </w:p>
        </w:tc>
        <w:tc>
          <w:tcPr>
            <w:tcW w:w="196" w:type="dxa"/>
            <w:tcBorders>
              <w:bottom w:val="single" w:sz="12" w:space="0" w:color="000000"/>
            </w:tcBorders>
            <w:tcMar>
              <w:top w:w="0" w:type="dxa"/>
            </w:tcMar>
            <w:vAlign w:val="center"/>
          </w:tcPr>
          <w:p>
            <w:pPr>
              <w:pStyle w:val="TableContents"/>
              <w:bidi w:val="0"/>
              <w:spacing w:before="0" w:after="283"/>
              <w:jc w:val="left"/>
              <w:rPr/>
            </w:pPr>
            <w:r>
              <w:rPr/>
              <w:t> </w:t>
            </w:r>
          </w:p>
        </w:tc>
        <w:tc>
          <w:tcPr>
            <w:tcW w:w="1662"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(302</w:t>
            </w:r>
          </w:p>
        </w:tc>
        <w:tc>
          <w:tcPr>
            <w:tcW w:w="122" w:type="dxa"/>
            <w:tcBorders>
              <w:bottom w:val="single" w:sz="12" w:space="0" w:color="000000"/>
            </w:tcBorders>
            <w:tcMar>
              <w:top w:w="0" w:type="dxa"/>
            </w:tcMar>
            <w:vAlign w:val="center"/>
          </w:tcPr>
          <w:p>
            <w:pPr>
              <w:pStyle w:val="TableContents"/>
              <w:bidi w:val="0"/>
              <w:spacing w:before="0" w:after="283"/>
              <w:jc w:val="left"/>
              <w:rPr/>
            </w:pPr>
            <w:r>
              <w:rPr/>
              <w:t xml:space="preserve">) </w:t>
            </w:r>
          </w:p>
        </w:tc>
        <w:tc>
          <w:tcPr>
            <w:tcW w:w="60" w:type="dxa"/>
            <w:tcBorders>
              <w:bottom w:val="single" w:sz="12" w:space="0" w:color="000000"/>
            </w:tcBorders>
            <w:tcMar>
              <w:top w:w="0" w:type="dxa"/>
            </w:tcMar>
            <w:vAlign w:val="center"/>
          </w:tcPr>
          <w:p>
            <w:pPr>
              <w:pStyle w:val="TableContents"/>
              <w:bidi w:val="0"/>
              <w:spacing w:before="0" w:after="283"/>
              <w:jc w:val="left"/>
              <w:rPr/>
            </w:pPr>
            <w:r>
              <w:rPr/>
              <w:t> </w:t>
            </w:r>
          </w:p>
        </w:tc>
        <w:tc>
          <w:tcPr>
            <w:tcW w:w="196" w:type="dxa"/>
            <w:tcBorders>
              <w:bottom w:val="single" w:sz="12" w:space="0" w:color="000000"/>
            </w:tcBorders>
            <w:tcMar>
              <w:top w:w="0" w:type="dxa"/>
            </w:tcMar>
            <w:vAlign w:val="center"/>
          </w:tcPr>
          <w:p>
            <w:pPr>
              <w:pStyle w:val="TableContents"/>
              <w:bidi w:val="0"/>
              <w:spacing w:before="0" w:after="283"/>
              <w:jc w:val="left"/>
              <w:rPr/>
            </w:pPr>
            <w:r>
              <w:rPr/>
              <w:t> </w:t>
            </w:r>
          </w:p>
        </w:tc>
        <w:tc>
          <w:tcPr>
            <w:tcW w:w="1662"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99" w:type="dxa"/>
            <w:tcBorders>
              <w:bottom w:val="single" w:sz="12" w:space="0" w:color="000000"/>
            </w:tcBorders>
            <w:tcMar>
              <w:top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r>
          </w:p>
        </w:tc>
      </w:tr>
      <w:tr>
        <w:trPr/>
        <w:tc>
          <w:tcPr>
            <w:tcW w:w="3934" w:type="dxa"/>
            <w:tcBorders/>
            <w:shd w:fill="CCEEFF" w:val="clear"/>
            <w:tcMar>
              <w:top w:w="0" w:type="dxa"/>
              <w:bottom w:w="0" w:type="dxa"/>
            </w:tcM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Pro forma net income (loss) available to common stockholders - basic</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219"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855"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(17,410</w:t>
            </w:r>
          </w:p>
        </w:tc>
        <w:tc>
          <w:tcPr>
            <w:tcW w:w="80"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196"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662"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(6,080</w:t>
            </w:r>
          </w:p>
        </w:tc>
        <w:tc>
          <w:tcPr>
            <w:tcW w:w="122"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196"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662"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7,895</w:t>
            </w:r>
          </w:p>
        </w:tc>
        <w:tc>
          <w:tcPr>
            <w:tcW w:w="99" w:type="dxa"/>
            <w:tcBorders/>
            <w:shd w:fill="CCEEFF" w:val="clear"/>
            <w:tcMar>
              <w:top w:w="0" w:type="dxa"/>
              <w:bottom w:w="0" w:type="dxa"/>
            </w:tcMar>
            <w:vAlign w:val="bottom"/>
          </w:tcPr>
          <w:p>
            <w:pPr>
              <w:pStyle w:val="TableContents"/>
              <w:bidi w:val="0"/>
              <w:spacing w:before="0" w:after="283"/>
              <w:jc w:val="left"/>
              <w:rPr/>
            </w:pPr>
            <w:r>
              <w:rPr/>
              <w:t> </w:t>
            </w:r>
          </w:p>
        </w:tc>
      </w:tr>
      <w:tr>
        <w:trPr/>
        <w:tc>
          <w:tcPr>
            <w:tcW w:w="3934" w:type="dxa"/>
            <w:tcBorders>
              <w:bottom w:val="single" w:sz="12" w:space="0" w:color="000000"/>
            </w:tcBorders>
            <w:tcMar>
              <w:top w:w="0" w:type="dxa"/>
            </w:tcMar>
            <w:vAlign w:val="center"/>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Less: change in fair value of warrant liability</w:t>
            </w:r>
          </w:p>
        </w:tc>
        <w:tc>
          <w:tcPr>
            <w:tcW w:w="60" w:type="dxa"/>
            <w:tcBorders>
              <w:bottom w:val="single" w:sz="12" w:space="0" w:color="000000"/>
            </w:tcBorders>
            <w:tcMar>
              <w:top w:w="0" w:type="dxa"/>
            </w:tcMar>
            <w:vAlign w:val="center"/>
          </w:tcPr>
          <w:p>
            <w:pPr>
              <w:pStyle w:val="TableContents"/>
              <w:bidi w:val="0"/>
              <w:spacing w:before="0" w:after="283"/>
              <w:jc w:val="left"/>
              <w:rPr/>
            </w:pPr>
            <w:r>
              <w:rPr/>
              <w:t> </w:t>
            </w:r>
          </w:p>
        </w:tc>
        <w:tc>
          <w:tcPr>
            <w:tcW w:w="219" w:type="dxa"/>
            <w:tcBorders>
              <w:bottom w:val="single" w:sz="12" w:space="0" w:color="000000"/>
            </w:tcBorders>
            <w:tcMar>
              <w:top w:w="0" w:type="dxa"/>
            </w:tcMar>
            <w:vAlign w:val="center"/>
          </w:tcPr>
          <w:p>
            <w:pPr>
              <w:pStyle w:val="TableContents"/>
              <w:bidi w:val="0"/>
              <w:spacing w:before="0" w:after="283"/>
              <w:jc w:val="left"/>
              <w:rPr/>
            </w:pPr>
            <w:r>
              <w:rPr/>
              <w:t> </w:t>
            </w:r>
          </w:p>
        </w:tc>
        <w:tc>
          <w:tcPr>
            <w:tcW w:w="1855"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(89</w:t>
            </w:r>
          </w:p>
        </w:tc>
        <w:tc>
          <w:tcPr>
            <w:tcW w:w="80" w:type="dxa"/>
            <w:tcBorders>
              <w:bottom w:val="single" w:sz="12" w:space="0" w:color="000000"/>
            </w:tcBorders>
            <w:tcMar>
              <w:top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tcMar>
              <w:top w:w="0" w:type="dxa"/>
            </w:tcMar>
            <w:vAlign w:val="center"/>
          </w:tcPr>
          <w:p>
            <w:pPr>
              <w:pStyle w:val="TableContents"/>
              <w:bidi w:val="0"/>
              <w:spacing w:before="0" w:after="283"/>
              <w:jc w:val="left"/>
              <w:rPr/>
            </w:pPr>
            <w:r>
              <w:rPr/>
              <w:t> </w:t>
            </w:r>
          </w:p>
        </w:tc>
        <w:tc>
          <w:tcPr>
            <w:tcW w:w="196" w:type="dxa"/>
            <w:tcBorders>
              <w:bottom w:val="single" w:sz="12" w:space="0" w:color="000000"/>
            </w:tcBorders>
            <w:tcMar>
              <w:top w:w="0" w:type="dxa"/>
            </w:tcMar>
            <w:vAlign w:val="center"/>
          </w:tcPr>
          <w:p>
            <w:pPr>
              <w:pStyle w:val="TableContents"/>
              <w:bidi w:val="0"/>
              <w:spacing w:before="0" w:after="283"/>
              <w:jc w:val="left"/>
              <w:rPr/>
            </w:pPr>
            <w:r>
              <w:rPr/>
              <w:t> </w:t>
            </w:r>
          </w:p>
        </w:tc>
        <w:tc>
          <w:tcPr>
            <w:tcW w:w="1662"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(2,707</w:t>
            </w:r>
          </w:p>
        </w:tc>
        <w:tc>
          <w:tcPr>
            <w:tcW w:w="122" w:type="dxa"/>
            <w:tcBorders>
              <w:bottom w:val="single" w:sz="12" w:space="0" w:color="000000"/>
            </w:tcBorders>
            <w:tcMar>
              <w:top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tcMar>
              <w:top w:w="0" w:type="dxa"/>
            </w:tcMar>
            <w:vAlign w:val="center"/>
          </w:tcPr>
          <w:p>
            <w:pPr>
              <w:pStyle w:val="TableContents"/>
              <w:bidi w:val="0"/>
              <w:spacing w:before="0" w:after="283"/>
              <w:jc w:val="left"/>
              <w:rPr/>
            </w:pPr>
            <w:r>
              <w:rPr/>
              <w:t> </w:t>
            </w:r>
          </w:p>
        </w:tc>
        <w:tc>
          <w:tcPr>
            <w:tcW w:w="196" w:type="dxa"/>
            <w:tcBorders>
              <w:bottom w:val="single" w:sz="12" w:space="0" w:color="000000"/>
            </w:tcBorders>
            <w:tcMar>
              <w:top w:w="0" w:type="dxa"/>
            </w:tcMar>
            <w:vAlign w:val="center"/>
          </w:tcPr>
          <w:p>
            <w:pPr>
              <w:pStyle w:val="TableContents"/>
              <w:bidi w:val="0"/>
              <w:spacing w:before="0" w:after="283"/>
              <w:jc w:val="left"/>
              <w:rPr/>
            </w:pPr>
            <w:r>
              <w:rPr/>
              <w:t> </w:t>
            </w:r>
          </w:p>
        </w:tc>
        <w:tc>
          <w:tcPr>
            <w:tcW w:w="1662"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(7,167</w:t>
            </w:r>
          </w:p>
        </w:tc>
        <w:tc>
          <w:tcPr>
            <w:tcW w:w="99" w:type="dxa"/>
            <w:tcBorders>
              <w:bottom w:val="single" w:sz="12" w:space="0" w:color="000000"/>
            </w:tcBorders>
            <w:tcMar>
              <w:top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3934" w:type="dxa"/>
            <w:tcBorders/>
            <w:shd w:fill="CCEEFF" w:val="clear"/>
            <w:tcMar>
              <w:top w:w="0" w:type="dxa"/>
              <w:bottom w:w="0" w:type="dxa"/>
            </w:tcM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Pro forma net income (loss) available to common stockholders - diluted</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219"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855"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(17,499</w:t>
            </w:r>
          </w:p>
        </w:tc>
        <w:tc>
          <w:tcPr>
            <w:tcW w:w="80"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196"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662"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(8,787</w:t>
            </w:r>
          </w:p>
        </w:tc>
        <w:tc>
          <w:tcPr>
            <w:tcW w:w="122"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196"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662"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728</w:t>
            </w:r>
          </w:p>
        </w:tc>
        <w:tc>
          <w:tcPr>
            <w:tcW w:w="99" w:type="dxa"/>
            <w:tcBorders/>
            <w:shd w:fill="CCEEFF" w:val="clear"/>
            <w:tcMar>
              <w:top w:w="0" w:type="dxa"/>
              <w:bottom w:w="0" w:type="dxa"/>
            </w:tcMar>
            <w:vAlign w:val="bottom"/>
          </w:tcPr>
          <w:p>
            <w:pPr>
              <w:pStyle w:val="TableContents"/>
              <w:bidi w:val="0"/>
              <w:spacing w:before="0" w:after="283"/>
              <w:jc w:val="left"/>
              <w:rPr/>
            </w:pPr>
            <w:r>
              <w:rPr/>
              <w:t> </w:t>
            </w:r>
          </w:p>
        </w:tc>
      </w:tr>
      <w:tr>
        <w:trPr/>
        <w:tc>
          <w:tcPr>
            <w:tcW w:w="3934" w:type="dxa"/>
            <w:tcBorders/>
            <w:tcMar>
              <w:top w:w="0" w:type="dxa"/>
              <w:bottom w:w="0" w:type="dxa"/>
            </w:tcM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Denominator:</w:t>
            </w:r>
          </w:p>
        </w:tc>
        <w:tc>
          <w:tcPr>
            <w:tcW w:w="60" w:type="dxa"/>
            <w:tcBorders/>
            <w:tcMar>
              <w:top w:w="0" w:type="dxa"/>
              <w:bottom w:w="0" w:type="dxa"/>
            </w:tcMar>
            <w:vAlign w:val="bottom"/>
          </w:tcPr>
          <w:p>
            <w:pPr>
              <w:pStyle w:val="TableContents"/>
              <w:bidi w:val="0"/>
              <w:spacing w:before="0" w:after="283"/>
              <w:jc w:val="left"/>
              <w:rPr/>
            </w:pPr>
            <w:r>
              <w:rPr/>
              <w:t> </w:t>
            </w:r>
          </w:p>
        </w:tc>
        <w:tc>
          <w:tcPr>
            <w:tcW w:w="219" w:type="dxa"/>
            <w:tcBorders/>
            <w:tcMar>
              <w:top w:w="0" w:type="dxa"/>
              <w:bottom w:w="0" w:type="dxa"/>
            </w:tcMar>
            <w:vAlign w:val="bottom"/>
          </w:tcPr>
          <w:p>
            <w:pPr>
              <w:pStyle w:val="TableContents"/>
              <w:bidi w:val="0"/>
              <w:spacing w:before="0" w:after="283"/>
              <w:jc w:val="left"/>
              <w:rPr/>
            </w:pPr>
            <w:r>
              <w:rPr/>
              <w:t> </w:t>
            </w:r>
          </w:p>
        </w:tc>
        <w:tc>
          <w:tcPr>
            <w:tcW w:w="1855" w:type="dxa"/>
            <w:tcBorders/>
            <w:tcMar>
              <w:top w:w="0" w:type="dxa"/>
              <w:bottom w:w="0" w:type="dxa"/>
            </w:tcMar>
            <w:vAlign w:val="bottom"/>
          </w:tcPr>
          <w:p>
            <w:pPr>
              <w:pStyle w:val="TableContents"/>
              <w:bidi w:val="0"/>
              <w:spacing w:before="0" w:after="283"/>
              <w:jc w:val="right"/>
              <w:rPr/>
            </w:pPr>
            <w:r>
              <w:rPr/>
              <w:t> </w:t>
            </w:r>
          </w:p>
        </w:tc>
        <w:tc>
          <w:tcPr>
            <w:tcW w:w="80" w:type="dxa"/>
            <w:tcBorders/>
            <w:tcMar>
              <w:top w:w="0" w:type="dxa"/>
              <w:bottom w:w="0" w:type="dxa"/>
            </w:tcMar>
            <w:vAlign w:val="bottom"/>
          </w:tcPr>
          <w:p>
            <w:pPr>
              <w:pStyle w:val="TableContents"/>
              <w:bidi w:val="0"/>
              <w:spacing w:before="0" w:after="283"/>
              <w:jc w:val="left"/>
              <w:rPr/>
            </w:pPr>
            <w:r>
              <w:rPr/>
              <w:t> </w:t>
            </w:r>
          </w:p>
        </w:tc>
        <w:tc>
          <w:tcPr>
            <w:tcW w:w="60" w:type="dxa"/>
            <w:tcBorders/>
            <w:tcMar>
              <w:top w:w="0" w:type="dxa"/>
              <w:bottom w:w="0" w:type="dxa"/>
            </w:tcMar>
            <w:vAlign w:val="bottom"/>
          </w:tcPr>
          <w:p>
            <w:pPr>
              <w:pStyle w:val="TableContents"/>
              <w:bidi w:val="0"/>
              <w:spacing w:before="0" w:after="283"/>
              <w:jc w:val="left"/>
              <w:rPr/>
            </w:pPr>
            <w:r>
              <w:rPr/>
              <w:t> </w:t>
            </w:r>
          </w:p>
        </w:tc>
        <w:tc>
          <w:tcPr>
            <w:tcW w:w="196" w:type="dxa"/>
            <w:tcBorders/>
            <w:tcMar>
              <w:top w:w="0" w:type="dxa"/>
              <w:bottom w:w="0" w:type="dxa"/>
            </w:tcMar>
            <w:vAlign w:val="bottom"/>
          </w:tcPr>
          <w:p>
            <w:pPr>
              <w:pStyle w:val="TableContents"/>
              <w:bidi w:val="0"/>
              <w:spacing w:before="0" w:after="283"/>
              <w:jc w:val="left"/>
              <w:rPr/>
            </w:pPr>
            <w:r>
              <w:rPr/>
              <w:t> </w:t>
            </w:r>
          </w:p>
        </w:tc>
        <w:tc>
          <w:tcPr>
            <w:tcW w:w="1662" w:type="dxa"/>
            <w:tcBorders/>
            <w:tcMar>
              <w:top w:w="0" w:type="dxa"/>
              <w:bottom w:w="0" w:type="dxa"/>
            </w:tcMar>
            <w:vAlign w:val="bottom"/>
          </w:tcPr>
          <w:p>
            <w:pPr>
              <w:pStyle w:val="TableContents"/>
              <w:bidi w:val="0"/>
              <w:spacing w:before="0" w:after="283"/>
              <w:jc w:val="right"/>
              <w:rPr/>
            </w:pPr>
            <w:r>
              <w:rPr/>
              <w:t> </w:t>
            </w:r>
          </w:p>
        </w:tc>
        <w:tc>
          <w:tcPr>
            <w:tcW w:w="122" w:type="dxa"/>
            <w:tcBorders/>
            <w:tcMar>
              <w:top w:w="0" w:type="dxa"/>
              <w:bottom w:w="0" w:type="dxa"/>
            </w:tcMar>
            <w:vAlign w:val="bottom"/>
          </w:tcPr>
          <w:p>
            <w:pPr>
              <w:pStyle w:val="TableContents"/>
              <w:bidi w:val="0"/>
              <w:spacing w:before="0" w:after="283"/>
              <w:jc w:val="left"/>
              <w:rPr/>
            </w:pPr>
            <w:r>
              <w:rPr/>
              <w:t> </w:t>
            </w:r>
          </w:p>
        </w:tc>
        <w:tc>
          <w:tcPr>
            <w:tcW w:w="60" w:type="dxa"/>
            <w:tcBorders/>
            <w:tcMar>
              <w:top w:w="0" w:type="dxa"/>
              <w:bottom w:w="0" w:type="dxa"/>
            </w:tcMar>
            <w:vAlign w:val="bottom"/>
          </w:tcPr>
          <w:p>
            <w:pPr>
              <w:pStyle w:val="TableContents"/>
              <w:bidi w:val="0"/>
              <w:spacing w:before="0" w:after="283"/>
              <w:jc w:val="left"/>
              <w:rPr/>
            </w:pPr>
            <w:r>
              <w:rPr/>
              <w:t> </w:t>
            </w:r>
          </w:p>
        </w:tc>
        <w:tc>
          <w:tcPr>
            <w:tcW w:w="196" w:type="dxa"/>
            <w:tcBorders/>
            <w:tcMar>
              <w:top w:w="0" w:type="dxa"/>
              <w:bottom w:w="0" w:type="dxa"/>
            </w:tcMar>
            <w:vAlign w:val="bottom"/>
          </w:tcPr>
          <w:p>
            <w:pPr>
              <w:pStyle w:val="TableContents"/>
              <w:bidi w:val="0"/>
              <w:spacing w:before="0" w:after="283"/>
              <w:jc w:val="left"/>
              <w:rPr/>
            </w:pPr>
            <w:r>
              <w:rPr/>
              <w:t> </w:t>
            </w:r>
          </w:p>
        </w:tc>
        <w:tc>
          <w:tcPr>
            <w:tcW w:w="1662" w:type="dxa"/>
            <w:tcBorders/>
            <w:tcMar>
              <w:top w:w="0" w:type="dxa"/>
              <w:bottom w:w="0" w:type="dxa"/>
            </w:tcMar>
            <w:vAlign w:val="bottom"/>
          </w:tcPr>
          <w:p>
            <w:pPr>
              <w:pStyle w:val="TableContents"/>
              <w:bidi w:val="0"/>
              <w:spacing w:before="0" w:after="283"/>
              <w:jc w:val="right"/>
              <w:rPr/>
            </w:pPr>
            <w:r>
              <w:rPr/>
              <w:t> </w:t>
            </w:r>
          </w:p>
        </w:tc>
        <w:tc>
          <w:tcPr>
            <w:tcW w:w="99" w:type="dxa"/>
            <w:tcBorders/>
            <w:tcMar>
              <w:top w:w="0" w:type="dxa"/>
              <w:bottom w:w="0" w:type="dxa"/>
            </w:tcMar>
            <w:vAlign w:val="bottom"/>
          </w:tcPr>
          <w:p>
            <w:pPr>
              <w:pStyle w:val="TableContents"/>
              <w:bidi w:val="0"/>
              <w:spacing w:before="0" w:after="283"/>
              <w:jc w:val="left"/>
              <w:rPr/>
            </w:pPr>
            <w:r>
              <w:rPr/>
              <w:t> </w:t>
            </w:r>
          </w:p>
        </w:tc>
      </w:tr>
      <w:tr>
        <w:trPr/>
        <w:tc>
          <w:tcPr>
            <w:tcW w:w="3934" w:type="dxa"/>
            <w:tcBorders/>
            <w:shd w:fill="CCEEFF" w:val="clear"/>
            <w:tcMar>
              <w:top w:w="0" w:type="dxa"/>
              <w:bottom w:w="0" w:type="dxa"/>
            </w:tcM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Historical Gyre weighted-average shares outstanding - basic</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219" w:type="dxa"/>
            <w:tcBorders/>
            <w:shd w:fill="CCEEFF" w:val="clear"/>
            <w:tcMar>
              <w:top w:w="0" w:type="dxa"/>
              <w:bottom w:w="0" w:type="dxa"/>
            </w:tcMar>
            <w:vAlign w:val="bottom"/>
          </w:tcPr>
          <w:p>
            <w:pPr>
              <w:pStyle w:val="TableContents"/>
              <w:bidi w:val="0"/>
              <w:spacing w:before="0" w:after="283"/>
              <w:jc w:val="left"/>
              <w:rPr/>
            </w:pPr>
            <w:r>
              <w:rPr/>
              <w:t> </w:t>
            </w:r>
          </w:p>
        </w:tc>
        <w:tc>
          <w:tcPr>
            <w:tcW w:w="1855"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91,317,142</w:t>
            </w:r>
          </w:p>
        </w:tc>
        <w:tc>
          <w:tcPr>
            <w:tcW w:w="80" w:type="dxa"/>
            <w:tcBorders/>
            <w:shd w:fill="CCEEFF" w:val="clear"/>
            <w:tcMar>
              <w:top w:w="0" w:type="dxa"/>
              <w:bottom w:w="0" w:type="dxa"/>
            </w:tcMar>
            <w:vAlign w:val="bottom"/>
          </w:tcPr>
          <w:p>
            <w:pPr>
              <w:pStyle w:val="TableContents"/>
              <w:bidi w:val="0"/>
              <w:spacing w:before="0" w:after="283"/>
              <w:jc w:val="left"/>
              <w:rPr/>
            </w:pPr>
            <w:r>
              <w:rPr/>
              <w:t> </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196" w:type="dxa"/>
            <w:tcBorders/>
            <w:shd w:fill="CCEEFF" w:val="clear"/>
            <w:tcMar>
              <w:top w:w="0" w:type="dxa"/>
              <w:bottom w:w="0" w:type="dxa"/>
            </w:tcMar>
            <w:vAlign w:val="bottom"/>
          </w:tcPr>
          <w:p>
            <w:pPr>
              <w:pStyle w:val="TableContents"/>
              <w:bidi w:val="0"/>
              <w:spacing w:before="0" w:after="283"/>
              <w:jc w:val="left"/>
              <w:rPr/>
            </w:pPr>
            <w:r>
              <w:rPr/>
              <w:t> </w:t>
            </w:r>
          </w:p>
        </w:tc>
        <w:tc>
          <w:tcPr>
            <w:tcW w:w="1662"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89,344,622</w:t>
            </w:r>
          </w:p>
        </w:tc>
        <w:tc>
          <w:tcPr>
            <w:tcW w:w="122" w:type="dxa"/>
            <w:tcBorders/>
            <w:shd w:fill="CCEEFF" w:val="clear"/>
            <w:tcMar>
              <w:top w:w="0" w:type="dxa"/>
              <w:bottom w:w="0" w:type="dxa"/>
            </w:tcMar>
            <w:vAlign w:val="bottom"/>
          </w:tcPr>
          <w:p>
            <w:pPr>
              <w:pStyle w:val="TableContents"/>
              <w:bidi w:val="0"/>
              <w:spacing w:before="0" w:after="283"/>
              <w:jc w:val="left"/>
              <w:rPr/>
            </w:pPr>
            <w:r>
              <w:rPr/>
              <w:t> </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196" w:type="dxa"/>
            <w:tcBorders/>
            <w:shd w:fill="CCEEFF" w:val="clear"/>
            <w:tcMar>
              <w:top w:w="0" w:type="dxa"/>
              <w:bottom w:w="0" w:type="dxa"/>
            </w:tcMar>
            <w:vAlign w:val="bottom"/>
          </w:tcPr>
          <w:p>
            <w:pPr>
              <w:pStyle w:val="TableContents"/>
              <w:bidi w:val="0"/>
              <w:spacing w:before="0" w:after="283"/>
              <w:jc w:val="left"/>
              <w:rPr/>
            </w:pPr>
            <w:r>
              <w:rPr/>
              <w:t> </w:t>
            </w:r>
          </w:p>
        </w:tc>
        <w:tc>
          <w:tcPr>
            <w:tcW w:w="1662"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85,094,948</w:t>
            </w:r>
          </w:p>
        </w:tc>
        <w:tc>
          <w:tcPr>
            <w:tcW w:w="99" w:type="dxa"/>
            <w:tcBorders/>
            <w:shd w:fill="CCEEFF" w:val="clear"/>
            <w:tcMar>
              <w:top w:w="0" w:type="dxa"/>
              <w:bottom w:w="0" w:type="dxa"/>
            </w:tcMar>
            <w:vAlign w:val="bottom"/>
          </w:tcPr>
          <w:p>
            <w:pPr>
              <w:pStyle w:val="TableContents"/>
              <w:bidi w:val="0"/>
              <w:spacing w:before="0" w:after="283"/>
              <w:jc w:val="left"/>
              <w:rPr/>
            </w:pPr>
            <w:r>
              <w:rPr/>
              <w:t> </w:t>
            </w:r>
          </w:p>
        </w:tc>
      </w:tr>
      <w:tr>
        <w:trPr/>
        <w:tc>
          <w:tcPr>
            <w:tcW w:w="3934" w:type="dxa"/>
            <w:tcBorders>
              <w:bottom w:val="single" w:sz="12" w:space="0" w:color="000000"/>
            </w:tcBorders>
            <w:tcMar>
              <w:top w:w="0" w:type="dxa"/>
            </w:tcMar>
            <w:vAlign w:val="center"/>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Shares of Company common stock issued as Merger consideration</w:t>
            </w:r>
          </w:p>
        </w:tc>
        <w:tc>
          <w:tcPr>
            <w:tcW w:w="60" w:type="dxa"/>
            <w:tcBorders>
              <w:bottom w:val="single" w:sz="12" w:space="0" w:color="000000"/>
            </w:tcBorders>
            <w:tcMar>
              <w:top w:w="0" w:type="dxa"/>
            </w:tcMar>
            <w:vAlign w:val="center"/>
          </w:tcPr>
          <w:p>
            <w:pPr>
              <w:pStyle w:val="TableContents"/>
              <w:bidi w:val="0"/>
              <w:spacing w:before="0" w:after="283"/>
              <w:jc w:val="left"/>
              <w:rPr/>
            </w:pPr>
            <w:r>
              <w:rPr/>
              <w:t> </w:t>
            </w:r>
          </w:p>
        </w:tc>
        <w:tc>
          <w:tcPr>
            <w:tcW w:w="219" w:type="dxa"/>
            <w:tcBorders>
              <w:bottom w:val="single" w:sz="12" w:space="0" w:color="000000"/>
            </w:tcBorders>
            <w:tcMar>
              <w:top w:w="0" w:type="dxa"/>
            </w:tcMar>
            <w:vAlign w:val="center"/>
          </w:tcPr>
          <w:p>
            <w:pPr>
              <w:pStyle w:val="TableContents"/>
              <w:bidi w:val="0"/>
              <w:spacing w:before="0" w:after="283"/>
              <w:jc w:val="left"/>
              <w:rPr/>
            </w:pPr>
            <w:r>
              <w:rPr/>
              <w:t> </w:t>
            </w:r>
          </w:p>
        </w:tc>
        <w:tc>
          <w:tcPr>
            <w:tcW w:w="1855"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14,450,527</w:t>
            </w:r>
          </w:p>
        </w:tc>
        <w:tc>
          <w:tcPr>
            <w:tcW w:w="80" w:type="dxa"/>
            <w:tcBorders>
              <w:bottom w:val="single" w:sz="12" w:space="0" w:color="000000"/>
            </w:tcBorders>
            <w:tcMar>
              <w:top w:w="0" w:type="dxa"/>
            </w:tcMar>
            <w:vAlign w:val="center"/>
          </w:tcPr>
          <w:p>
            <w:pPr>
              <w:pStyle w:val="TableContents"/>
              <w:bidi w:val="0"/>
              <w:spacing w:before="0" w:after="283"/>
              <w:jc w:val="left"/>
              <w:rPr/>
            </w:pPr>
            <w:r>
              <w:rPr/>
              <w:t> </w:t>
            </w:r>
          </w:p>
        </w:tc>
        <w:tc>
          <w:tcPr>
            <w:tcW w:w="60" w:type="dxa"/>
            <w:tcBorders>
              <w:bottom w:val="single" w:sz="12" w:space="0" w:color="000000"/>
            </w:tcBorders>
            <w:tcMar>
              <w:top w:w="0" w:type="dxa"/>
            </w:tcMar>
            <w:vAlign w:val="center"/>
          </w:tcPr>
          <w:p>
            <w:pPr>
              <w:pStyle w:val="TableContents"/>
              <w:bidi w:val="0"/>
              <w:spacing w:before="0" w:after="283"/>
              <w:jc w:val="left"/>
              <w:rPr/>
            </w:pPr>
            <w:r>
              <w:rPr/>
              <w:t> </w:t>
            </w:r>
          </w:p>
        </w:tc>
        <w:tc>
          <w:tcPr>
            <w:tcW w:w="196" w:type="dxa"/>
            <w:tcBorders>
              <w:bottom w:val="single" w:sz="12" w:space="0" w:color="000000"/>
            </w:tcBorders>
            <w:tcMar>
              <w:top w:w="0" w:type="dxa"/>
            </w:tcMar>
            <w:vAlign w:val="center"/>
          </w:tcPr>
          <w:p>
            <w:pPr>
              <w:pStyle w:val="TableContents"/>
              <w:bidi w:val="0"/>
              <w:spacing w:before="0" w:after="283"/>
              <w:jc w:val="left"/>
              <w:rPr/>
            </w:pPr>
            <w:r>
              <w:rPr/>
              <w:t> </w:t>
            </w:r>
          </w:p>
        </w:tc>
        <w:tc>
          <w:tcPr>
            <w:tcW w:w="1662"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14,450,527</w:t>
            </w:r>
          </w:p>
        </w:tc>
        <w:tc>
          <w:tcPr>
            <w:tcW w:w="122" w:type="dxa"/>
            <w:tcBorders>
              <w:bottom w:val="single" w:sz="12" w:space="0" w:color="000000"/>
            </w:tcBorders>
            <w:tcMar>
              <w:top w:w="0" w:type="dxa"/>
            </w:tcMar>
            <w:vAlign w:val="center"/>
          </w:tcPr>
          <w:p>
            <w:pPr>
              <w:pStyle w:val="TableContents"/>
              <w:bidi w:val="0"/>
              <w:spacing w:before="0" w:after="283"/>
              <w:jc w:val="left"/>
              <w:rPr/>
            </w:pPr>
            <w:r>
              <w:rPr/>
              <w:t> </w:t>
            </w:r>
          </w:p>
        </w:tc>
        <w:tc>
          <w:tcPr>
            <w:tcW w:w="60" w:type="dxa"/>
            <w:tcBorders>
              <w:bottom w:val="single" w:sz="12" w:space="0" w:color="000000"/>
            </w:tcBorders>
            <w:tcMar>
              <w:top w:w="0" w:type="dxa"/>
            </w:tcMar>
            <w:vAlign w:val="center"/>
          </w:tcPr>
          <w:p>
            <w:pPr>
              <w:pStyle w:val="TableContents"/>
              <w:bidi w:val="0"/>
              <w:spacing w:before="0" w:after="283"/>
              <w:jc w:val="left"/>
              <w:rPr/>
            </w:pPr>
            <w:r>
              <w:rPr/>
              <w:t> </w:t>
            </w:r>
          </w:p>
        </w:tc>
        <w:tc>
          <w:tcPr>
            <w:tcW w:w="196" w:type="dxa"/>
            <w:tcBorders>
              <w:bottom w:val="single" w:sz="12" w:space="0" w:color="000000"/>
            </w:tcBorders>
            <w:tcMar>
              <w:top w:w="0" w:type="dxa"/>
            </w:tcMar>
            <w:vAlign w:val="center"/>
          </w:tcPr>
          <w:p>
            <w:pPr>
              <w:pStyle w:val="TableContents"/>
              <w:bidi w:val="0"/>
              <w:spacing w:before="0" w:after="283"/>
              <w:jc w:val="left"/>
              <w:rPr/>
            </w:pPr>
            <w:r>
              <w:rPr/>
              <w:t> </w:t>
            </w:r>
          </w:p>
        </w:tc>
        <w:tc>
          <w:tcPr>
            <w:tcW w:w="1662"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99" w:type="dxa"/>
            <w:tcBorders>
              <w:bottom w:val="single" w:sz="12" w:space="0" w:color="000000"/>
            </w:tcBorders>
            <w:tcMar>
              <w:top w:w="0" w:type="dxa"/>
            </w:tcMar>
            <w:vAlign w:val="center"/>
          </w:tcPr>
          <w:p>
            <w:pPr>
              <w:pStyle w:val="TableContents"/>
              <w:bidi w:val="0"/>
              <w:spacing w:before="0" w:after="283"/>
              <w:jc w:val="left"/>
              <w:rPr/>
            </w:pPr>
            <w:r>
              <w:rPr/>
              <w:t> </w:t>
            </w:r>
          </w:p>
        </w:tc>
      </w:tr>
      <w:tr>
        <w:trPr/>
        <w:tc>
          <w:tcPr>
            <w:tcW w:w="3934" w:type="dxa"/>
            <w:tcBorders/>
            <w:shd w:fill="CCEEFF" w:val="clear"/>
            <w:tcMar>
              <w:top w:w="0" w:type="dxa"/>
              <w:bottom w:w="0" w:type="dxa"/>
            </w:tcM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Pro forma weighted-average shares outstanding - basic</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219" w:type="dxa"/>
            <w:tcBorders/>
            <w:shd w:fill="CCEEFF" w:val="clear"/>
            <w:tcMar>
              <w:top w:w="0" w:type="dxa"/>
              <w:bottom w:w="0" w:type="dxa"/>
            </w:tcMar>
            <w:vAlign w:val="bottom"/>
          </w:tcPr>
          <w:p>
            <w:pPr>
              <w:pStyle w:val="TableContents"/>
              <w:bidi w:val="0"/>
              <w:spacing w:before="0" w:after="283"/>
              <w:jc w:val="left"/>
              <w:rPr/>
            </w:pPr>
            <w:r>
              <w:rPr/>
              <w:t> </w:t>
            </w:r>
          </w:p>
        </w:tc>
        <w:tc>
          <w:tcPr>
            <w:tcW w:w="1855"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105,767,669</w:t>
            </w:r>
          </w:p>
        </w:tc>
        <w:tc>
          <w:tcPr>
            <w:tcW w:w="80" w:type="dxa"/>
            <w:tcBorders/>
            <w:shd w:fill="CCEEFF" w:val="clear"/>
            <w:tcMar>
              <w:top w:w="0" w:type="dxa"/>
              <w:bottom w:w="0" w:type="dxa"/>
            </w:tcMar>
            <w:vAlign w:val="bottom"/>
          </w:tcPr>
          <w:p>
            <w:pPr>
              <w:pStyle w:val="TableContents"/>
              <w:bidi w:val="0"/>
              <w:spacing w:before="0" w:after="283"/>
              <w:jc w:val="left"/>
              <w:rPr/>
            </w:pPr>
            <w:r>
              <w:rPr/>
              <w:t> </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196" w:type="dxa"/>
            <w:tcBorders/>
            <w:shd w:fill="CCEEFF" w:val="clear"/>
            <w:tcMar>
              <w:top w:w="0" w:type="dxa"/>
              <w:bottom w:w="0" w:type="dxa"/>
            </w:tcMar>
            <w:vAlign w:val="bottom"/>
          </w:tcPr>
          <w:p>
            <w:pPr>
              <w:pStyle w:val="TableContents"/>
              <w:bidi w:val="0"/>
              <w:spacing w:before="0" w:after="283"/>
              <w:jc w:val="left"/>
              <w:rPr/>
            </w:pPr>
            <w:r>
              <w:rPr/>
              <w:t> </w:t>
            </w:r>
          </w:p>
        </w:tc>
        <w:tc>
          <w:tcPr>
            <w:tcW w:w="1662"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103,795,149</w:t>
            </w:r>
          </w:p>
        </w:tc>
        <w:tc>
          <w:tcPr>
            <w:tcW w:w="122" w:type="dxa"/>
            <w:tcBorders/>
            <w:shd w:fill="CCEEFF" w:val="clear"/>
            <w:tcMar>
              <w:top w:w="0" w:type="dxa"/>
              <w:bottom w:w="0" w:type="dxa"/>
            </w:tcMar>
            <w:vAlign w:val="bottom"/>
          </w:tcPr>
          <w:p>
            <w:pPr>
              <w:pStyle w:val="TableContents"/>
              <w:bidi w:val="0"/>
              <w:spacing w:before="0" w:after="283"/>
              <w:jc w:val="left"/>
              <w:rPr/>
            </w:pPr>
            <w:r>
              <w:rPr/>
              <w:t> </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196" w:type="dxa"/>
            <w:tcBorders/>
            <w:shd w:fill="CCEEFF" w:val="clear"/>
            <w:tcMar>
              <w:top w:w="0" w:type="dxa"/>
              <w:bottom w:w="0" w:type="dxa"/>
            </w:tcMar>
            <w:vAlign w:val="bottom"/>
          </w:tcPr>
          <w:p>
            <w:pPr>
              <w:pStyle w:val="TableContents"/>
              <w:bidi w:val="0"/>
              <w:spacing w:before="0" w:after="283"/>
              <w:jc w:val="left"/>
              <w:rPr/>
            </w:pPr>
            <w:r>
              <w:rPr/>
              <w:t> </w:t>
            </w:r>
          </w:p>
        </w:tc>
        <w:tc>
          <w:tcPr>
            <w:tcW w:w="1662"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85,094,948</w:t>
            </w:r>
          </w:p>
        </w:tc>
        <w:tc>
          <w:tcPr>
            <w:tcW w:w="99" w:type="dxa"/>
            <w:tcBorders/>
            <w:shd w:fill="CCEEFF" w:val="clear"/>
            <w:tcMar>
              <w:top w:w="0" w:type="dxa"/>
              <w:bottom w:w="0" w:type="dxa"/>
            </w:tcMar>
            <w:vAlign w:val="bottom"/>
          </w:tcPr>
          <w:p>
            <w:pPr>
              <w:pStyle w:val="TableContents"/>
              <w:bidi w:val="0"/>
              <w:spacing w:before="0" w:after="283"/>
              <w:jc w:val="left"/>
              <w:rPr/>
            </w:pPr>
            <w:r>
              <w:rPr/>
              <w:t> </w:t>
            </w:r>
          </w:p>
        </w:tc>
      </w:tr>
      <w:tr>
        <w:trPr/>
        <w:tc>
          <w:tcPr>
            <w:tcW w:w="3934" w:type="dxa"/>
            <w:tcBorders>
              <w:bottom w:val="single" w:sz="12" w:space="0" w:color="000000"/>
            </w:tcBorders>
            <w:tcMar>
              <w:top w:w="0" w:type="dxa"/>
            </w:tcM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Incremental shares from Gyre historical securities included in diluted EPS</w:t>
            </w:r>
          </w:p>
        </w:tc>
        <w:tc>
          <w:tcPr>
            <w:tcW w:w="60" w:type="dxa"/>
            <w:tcBorders>
              <w:bottom w:val="single" w:sz="12" w:space="0" w:color="000000"/>
            </w:tcBorders>
            <w:tcMar>
              <w:top w:w="0" w:type="dxa"/>
            </w:tcMar>
            <w:vAlign w:val="bottom"/>
          </w:tcPr>
          <w:p>
            <w:pPr>
              <w:pStyle w:val="TableContents"/>
              <w:bidi w:val="0"/>
              <w:spacing w:before="0" w:after="283"/>
              <w:jc w:val="left"/>
              <w:rPr/>
            </w:pPr>
            <w:r>
              <w:rPr/>
              <w:t> </w:t>
            </w:r>
          </w:p>
        </w:tc>
        <w:tc>
          <w:tcPr>
            <w:tcW w:w="219" w:type="dxa"/>
            <w:tcBorders>
              <w:bottom w:val="single" w:sz="12" w:space="0" w:color="000000"/>
            </w:tcBorders>
            <w:tcMar>
              <w:top w:w="0" w:type="dxa"/>
            </w:tcMar>
            <w:vAlign w:val="bottom"/>
          </w:tcPr>
          <w:p>
            <w:pPr>
              <w:pStyle w:val="TableContents"/>
              <w:bidi w:val="0"/>
              <w:spacing w:before="0" w:after="283"/>
              <w:jc w:val="left"/>
              <w:rPr/>
            </w:pPr>
            <w:r>
              <w:rPr/>
              <w:t> </w:t>
            </w:r>
          </w:p>
        </w:tc>
        <w:tc>
          <w:tcPr>
            <w:tcW w:w="1855" w:type="dxa"/>
            <w:tcBorders>
              <w:bottom w:val="single" w:sz="12" w:space="0" w:color="000000"/>
            </w:tcBorders>
            <w:tcMar>
              <w:top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27,442</w:t>
            </w:r>
          </w:p>
        </w:tc>
        <w:tc>
          <w:tcPr>
            <w:tcW w:w="80" w:type="dxa"/>
            <w:tcBorders>
              <w:bottom w:val="single" w:sz="12" w:space="0" w:color="000000"/>
            </w:tcBorders>
            <w:tcMar>
              <w:top w:w="0"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tcMar>
            <w:vAlign w:val="bottom"/>
          </w:tcPr>
          <w:p>
            <w:pPr>
              <w:pStyle w:val="TableContents"/>
              <w:bidi w:val="0"/>
              <w:spacing w:before="0" w:after="283"/>
              <w:jc w:val="left"/>
              <w:rPr/>
            </w:pPr>
            <w:r>
              <w:rPr/>
              <w:t> </w:t>
            </w:r>
          </w:p>
        </w:tc>
        <w:tc>
          <w:tcPr>
            <w:tcW w:w="196" w:type="dxa"/>
            <w:tcBorders>
              <w:bottom w:val="single" w:sz="12" w:space="0" w:color="000000"/>
            </w:tcBorders>
            <w:tcMar>
              <w:top w:w="0" w:type="dxa"/>
            </w:tcMar>
            <w:vAlign w:val="bottom"/>
          </w:tcPr>
          <w:p>
            <w:pPr>
              <w:pStyle w:val="TableContents"/>
              <w:bidi w:val="0"/>
              <w:spacing w:before="0" w:after="283"/>
              <w:jc w:val="left"/>
              <w:rPr/>
            </w:pPr>
            <w:r>
              <w:rPr/>
              <w:t> </w:t>
            </w:r>
          </w:p>
        </w:tc>
        <w:tc>
          <w:tcPr>
            <w:tcW w:w="1662" w:type="dxa"/>
            <w:tcBorders>
              <w:bottom w:val="single" w:sz="12" w:space="0" w:color="000000"/>
            </w:tcBorders>
            <w:tcMar>
              <w:top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83,307</w:t>
            </w:r>
          </w:p>
        </w:tc>
        <w:tc>
          <w:tcPr>
            <w:tcW w:w="122" w:type="dxa"/>
            <w:tcBorders>
              <w:bottom w:val="single" w:sz="12" w:space="0" w:color="000000"/>
            </w:tcBorders>
            <w:tcMar>
              <w:top w:w="0"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tcMar>
            <w:vAlign w:val="bottom"/>
          </w:tcPr>
          <w:p>
            <w:pPr>
              <w:pStyle w:val="TableContents"/>
              <w:bidi w:val="0"/>
              <w:spacing w:before="0" w:after="283"/>
              <w:jc w:val="left"/>
              <w:rPr/>
            </w:pPr>
            <w:r>
              <w:rPr/>
              <w:t> </w:t>
            </w:r>
          </w:p>
        </w:tc>
        <w:tc>
          <w:tcPr>
            <w:tcW w:w="196" w:type="dxa"/>
            <w:tcBorders>
              <w:bottom w:val="single" w:sz="12" w:space="0" w:color="000000"/>
            </w:tcBorders>
            <w:tcMar>
              <w:top w:w="0" w:type="dxa"/>
            </w:tcMar>
            <w:vAlign w:val="bottom"/>
          </w:tcPr>
          <w:p>
            <w:pPr>
              <w:pStyle w:val="TableContents"/>
              <w:bidi w:val="0"/>
              <w:spacing w:before="0" w:after="283"/>
              <w:jc w:val="left"/>
              <w:rPr/>
            </w:pPr>
            <w:r>
              <w:rPr/>
              <w:t> </w:t>
            </w:r>
          </w:p>
        </w:tc>
        <w:tc>
          <w:tcPr>
            <w:tcW w:w="1662" w:type="dxa"/>
            <w:tcBorders>
              <w:bottom w:val="single" w:sz="12" w:space="0" w:color="000000"/>
            </w:tcBorders>
            <w:tcMar>
              <w:top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17,198,578</w:t>
            </w:r>
          </w:p>
        </w:tc>
        <w:tc>
          <w:tcPr>
            <w:tcW w:w="99" w:type="dxa"/>
            <w:tcBorders/>
            <w:tcMar>
              <w:top w:w="0" w:type="dxa"/>
              <w:bottom w:w="0" w:type="dxa"/>
            </w:tcMar>
            <w:vAlign w:val="bottom"/>
          </w:tcPr>
          <w:p>
            <w:pPr>
              <w:pStyle w:val="TableContents"/>
              <w:bidi w:val="0"/>
              <w:spacing w:before="0" w:after="283"/>
              <w:jc w:val="left"/>
              <w:rPr/>
            </w:pPr>
            <w:r>
              <w:rPr/>
              <w:t> </w:t>
            </w:r>
          </w:p>
        </w:tc>
      </w:tr>
      <w:tr>
        <w:trPr/>
        <w:tc>
          <w:tcPr>
            <w:tcW w:w="3934" w:type="dxa"/>
            <w:tcBorders/>
            <w:tcMar>
              <w:top w:w="0" w:type="dxa"/>
              <w:bottom w:w="0" w:type="dxa"/>
            </w:tcM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Pro forma weighted-average shares outstanding - diluted</w:t>
            </w:r>
          </w:p>
        </w:tc>
        <w:tc>
          <w:tcPr>
            <w:tcW w:w="60" w:type="dxa"/>
            <w:tcBorders/>
            <w:tcMar>
              <w:top w:w="0" w:type="dxa"/>
              <w:bottom w:w="0" w:type="dxa"/>
            </w:tcMar>
            <w:vAlign w:val="bottom"/>
          </w:tcPr>
          <w:p>
            <w:pPr>
              <w:pStyle w:val="TableContents"/>
              <w:bidi w:val="0"/>
              <w:spacing w:before="0" w:after="283"/>
              <w:jc w:val="left"/>
              <w:rPr/>
            </w:pPr>
            <w:r>
              <w:rPr/>
              <w:t> </w:t>
            </w:r>
          </w:p>
        </w:tc>
        <w:tc>
          <w:tcPr>
            <w:tcW w:w="219" w:type="dxa"/>
            <w:tcBorders/>
            <w:tcMar>
              <w:top w:w="0" w:type="dxa"/>
              <w:bottom w:w="0" w:type="dxa"/>
            </w:tcMar>
            <w:vAlign w:val="bottom"/>
          </w:tcPr>
          <w:p>
            <w:pPr>
              <w:pStyle w:val="TableContents"/>
              <w:bidi w:val="0"/>
              <w:spacing w:before="0" w:after="283"/>
              <w:jc w:val="left"/>
              <w:rPr/>
            </w:pPr>
            <w:r>
              <w:rPr/>
              <w:t> </w:t>
            </w:r>
          </w:p>
        </w:tc>
        <w:tc>
          <w:tcPr>
            <w:tcW w:w="1855" w:type="dxa"/>
            <w:tcBorders/>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105,795,111</w:t>
            </w:r>
          </w:p>
        </w:tc>
        <w:tc>
          <w:tcPr>
            <w:tcW w:w="80" w:type="dxa"/>
            <w:tcBorders/>
            <w:tcMar>
              <w:top w:w="0" w:type="dxa"/>
              <w:bottom w:w="0" w:type="dxa"/>
            </w:tcMar>
            <w:vAlign w:val="bottom"/>
          </w:tcPr>
          <w:p>
            <w:pPr>
              <w:pStyle w:val="TableContents"/>
              <w:bidi w:val="0"/>
              <w:spacing w:before="0" w:after="283"/>
              <w:jc w:val="left"/>
              <w:rPr/>
            </w:pPr>
            <w:r>
              <w:rPr/>
              <w:t> </w:t>
            </w:r>
          </w:p>
        </w:tc>
        <w:tc>
          <w:tcPr>
            <w:tcW w:w="60" w:type="dxa"/>
            <w:tcBorders/>
            <w:tcMar>
              <w:top w:w="0" w:type="dxa"/>
              <w:bottom w:w="0" w:type="dxa"/>
            </w:tcMar>
            <w:vAlign w:val="bottom"/>
          </w:tcPr>
          <w:p>
            <w:pPr>
              <w:pStyle w:val="TableContents"/>
              <w:bidi w:val="0"/>
              <w:spacing w:before="0" w:after="283"/>
              <w:jc w:val="left"/>
              <w:rPr/>
            </w:pPr>
            <w:r>
              <w:rPr/>
              <w:t> </w:t>
            </w:r>
          </w:p>
        </w:tc>
        <w:tc>
          <w:tcPr>
            <w:tcW w:w="196" w:type="dxa"/>
            <w:tcBorders/>
            <w:tcMar>
              <w:top w:w="0" w:type="dxa"/>
              <w:bottom w:w="0" w:type="dxa"/>
            </w:tcMar>
            <w:vAlign w:val="bottom"/>
          </w:tcPr>
          <w:p>
            <w:pPr>
              <w:pStyle w:val="TableContents"/>
              <w:bidi w:val="0"/>
              <w:spacing w:before="0" w:after="283"/>
              <w:jc w:val="left"/>
              <w:rPr/>
            </w:pPr>
            <w:r>
              <w:rPr/>
              <w:t> </w:t>
            </w:r>
          </w:p>
        </w:tc>
        <w:tc>
          <w:tcPr>
            <w:tcW w:w="1662" w:type="dxa"/>
            <w:tcBorders/>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103,878,456</w:t>
            </w:r>
          </w:p>
        </w:tc>
        <w:tc>
          <w:tcPr>
            <w:tcW w:w="122" w:type="dxa"/>
            <w:tcBorders/>
            <w:tcMar>
              <w:top w:w="0" w:type="dxa"/>
              <w:bottom w:w="0" w:type="dxa"/>
            </w:tcMar>
            <w:vAlign w:val="bottom"/>
          </w:tcPr>
          <w:p>
            <w:pPr>
              <w:pStyle w:val="TableContents"/>
              <w:bidi w:val="0"/>
              <w:spacing w:before="0" w:after="283"/>
              <w:jc w:val="left"/>
              <w:rPr/>
            </w:pPr>
            <w:r>
              <w:rPr/>
              <w:t> </w:t>
            </w:r>
          </w:p>
        </w:tc>
        <w:tc>
          <w:tcPr>
            <w:tcW w:w="60" w:type="dxa"/>
            <w:tcBorders/>
            <w:tcMar>
              <w:top w:w="0" w:type="dxa"/>
              <w:bottom w:w="0" w:type="dxa"/>
            </w:tcMar>
            <w:vAlign w:val="bottom"/>
          </w:tcPr>
          <w:p>
            <w:pPr>
              <w:pStyle w:val="TableContents"/>
              <w:bidi w:val="0"/>
              <w:spacing w:before="0" w:after="283"/>
              <w:jc w:val="left"/>
              <w:rPr/>
            </w:pPr>
            <w:r>
              <w:rPr/>
              <w:t> </w:t>
            </w:r>
          </w:p>
        </w:tc>
        <w:tc>
          <w:tcPr>
            <w:tcW w:w="196" w:type="dxa"/>
            <w:tcBorders/>
            <w:tcMar>
              <w:top w:w="0" w:type="dxa"/>
              <w:bottom w:w="0" w:type="dxa"/>
            </w:tcMar>
            <w:vAlign w:val="bottom"/>
          </w:tcPr>
          <w:p>
            <w:pPr>
              <w:pStyle w:val="TableContents"/>
              <w:bidi w:val="0"/>
              <w:spacing w:before="0" w:after="283"/>
              <w:jc w:val="left"/>
              <w:rPr/>
            </w:pPr>
            <w:r>
              <w:rPr/>
              <w:t> </w:t>
            </w:r>
          </w:p>
        </w:tc>
        <w:tc>
          <w:tcPr>
            <w:tcW w:w="1662" w:type="dxa"/>
            <w:tcBorders/>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102,293,526</w:t>
            </w:r>
          </w:p>
        </w:tc>
        <w:tc>
          <w:tcPr>
            <w:tcW w:w="99" w:type="dxa"/>
            <w:tcBorders/>
            <w:tcMar>
              <w:top w:w="0" w:type="dxa"/>
              <w:bottom w:w="0" w:type="dxa"/>
            </w:tcMar>
            <w:vAlign w:val="bottom"/>
          </w:tcPr>
          <w:p>
            <w:pPr>
              <w:pStyle w:val="TableContents"/>
              <w:bidi w:val="0"/>
              <w:spacing w:before="0" w:after="283"/>
              <w:jc w:val="left"/>
              <w:rPr/>
            </w:pPr>
            <w:r>
              <w:rPr/>
              <w:t> </w:t>
            </w:r>
          </w:p>
        </w:tc>
      </w:tr>
      <w:tr>
        <w:trPr/>
        <w:tc>
          <w:tcPr>
            <w:tcW w:w="3934" w:type="dxa"/>
            <w:tcBorders/>
            <w:shd w:fill="CCEEFF" w:val="clear"/>
            <w:tcMar>
              <w:top w:w="0" w:type="dxa"/>
              <w:bottom w:w="0" w:type="dxa"/>
            </w:tcM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Pro forma net income (loss) per share attributable to common stockholders - basic</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219"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855"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(0.16</w:t>
            </w:r>
          </w:p>
        </w:tc>
        <w:tc>
          <w:tcPr>
            <w:tcW w:w="80"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196"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662"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(0.06</w:t>
            </w:r>
          </w:p>
        </w:tc>
        <w:tc>
          <w:tcPr>
            <w:tcW w:w="122"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top w:w="0" w:type="dxa"/>
              <w:bottom w:w="0" w:type="dxa"/>
            </w:tcMar>
            <w:vAlign w:val="bottom"/>
          </w:tcPr>
          <w:p>
            <w:pPr>
              <w:pStyle w:val="TableContents"/>
              <w:bidi w:val="0"/>
              <w:spacing w:before="0" w:after="283"/>
              <w:jc w:val="left"/>
              <w:rPr/>
            </w:pPr>
            <w:r>
              <w:rPr/>
              <w:t> </w:t>
            </w:r>
          </w:p>
        </w:tc>
        <w:tc>
          <w:tcPr>
            <w:tcW w:w="196" w:type="dxa"/>
            <w:tcBorders/>
            <w:shd w:fill="CCEEFF" w:val="clear"/>
            <w:tcMar>
              <w:top w:w="0" w:type="dxa"/>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662" w:type="dxa"/>
            <w:tcBorders/>
            <w:shd w:fill="CCEEFF" w:val="clear"/>
            <w:tcMar>
              <w:top w:w="0" w:type="dxa"/>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0.09</w:t>
            </w:r>
          </w:p>
        </w:tc>
        <w:tc>
          <w:tcPr>
            <w:tcW w:w="99" w:type="dxa"/>
            <w:tcBorders/>
            <w:shd w:fill="CCEEFF" w:val="clear"/>
            <w:tcMar>
              <w:top w:w="0" w:type="dxa"/>
              <w:bottom w:w="0" w:type="dxa"/>
            </w:tcMar>
            <w:vAlign w:val="bottom"/>
          </w:tcPr>
          <w:p>
            <w:pPr>
              <w:pStyle w:val="TableContents"/>
              <w:bidi w:val="0"/>
              <w:spacing w:before="0" w:after="283"/>
              <w:jc w:val="left"/>
              <w:rPr/>
            </w:pPr>
            <w:r>
              <w:rPr/>
              <w:t> </w:t>
            </w:r>
          </w:p>
        </w:tc>
      </w:tr>
      <w:tr>
        <w:trPr/>
        <w:tc>
          <w:tcPr>
            <w:tcW w:w="3934" w:type="dxa"/>
            <w:tcBorders>
              <w:bottom w:val="single" w:sz="12" w:space="0" w:color="000000"/>
            </w:tcBorders>
            <w:tcMar>
              <w:top w:w="0" w:type="dxa"/>
            </w:tcMar>
            <w:vAlign w:val="center"/>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Pro forma net income (loss) per share attributable to common stockholders - diluted</w:t>
            </w:r>
          </w:p>
        </w:tc>
        <w:tc>
          <w:tcPr>
            <w:tcW w:w="60" w:type="dxa"/>
            <w:tcBorders>
              <w:bottom w:val="single" w:sz="12" w:space="0" w:color="000000"/>
            </w:tcBorders>
            <w:tcMar>
              <w:top w:w="0" w:type="dxa"/>
            </w:tcMar>
            <w:vAlign w:val="center"/>
          </w:tcPr>
          <w:p>
            <w:pPr>
              <w:pStyle w:val="TableContents"/>
              <w:bidi w:val="0"/>
              <w:spacing w:before="0" w:after="283"/>
              <w:jc w:val="left"/>
              <w:rPr/>
            </w:pPr>
            <w:r>
              <w:rPr/>
              <w:t> </w:t>
            </w:r>
          </w:p>
        </w:tc>
        <w:tc>
          <w:tcPr>
            <w:tcW w:w="219" w:type="dxa"/>
            <w:tcBorders>
              <w:bottom w:val="single" w:sz="12" w:space="0" w:color="000000"/>
            </w:tcBorders>
            <w:tcMar>
              <w:top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855"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(0.17</w:t>
            </w:r>
          </w:p>
        </w:tc>
        <w:tc>
          <w:tcPr>
            <w:tcW w:w="80" w:type="dxa"/>
            <w:tcBorders>
              <w:bottom w:val="single" w:sz="12" w:space="0" w:color="000000"/>
            </w:tcBorders>
            <w:tcMar>
              <w:top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tcMar>
              <w:top w:w="0" w:type="dxa"/>
            </w:tcMar>
            <w:vAlign w:val="center"/>
          </w:tcPr>
          <w:p>
            <w:pPr>
              <w:pStyle w:val="TableContents"/>
              <w:bidi w:val="0"/>
              <w:spacing w:before="0" w:after="283"/>
              <w:jc w:val="left"/>
              <w:rPr/>
            </w:pPr>
            <w:r>
              <w:rPr/>
              <w:t> </w:t>
            </w:r>
          </w:p>
        </w:tc>
        <w:tc>
          <w:tcPr>
            <w:tcW w:w="196" w:type="dxa"/>
            <w:tcBorders>
              <w:bottom w:val="single" w:sz="12" w:space="0" w:color="000000"/>
            </w:tcBorders>
            <w:tcMar>
              <w:top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662"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(0.08</w:t>
            </w:r>
          </w:p>
        </w:tc>
        <w:tc>
          <w:tcPr>
            <w:tcW w:w="122" w:type="dxa"/>
            <w:tcBorders>
              <w:bottom w:val="single" w:sz="12" w:space="0" w:color="000000"/>
            </w:tcBorders>
            <w:tcMar>
              <w:top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bottom w:val="single" w:sz="12" w:space="0" w:color="000000"/>
            </w:tcBorders>
            <w:tcMar>
              <w:top w:w="0" w:type="dxa"/>
            </w:tcMar>
            <w:vAlign w:val="center"/>
          </w:tcPr>
          <w:p>
            <w:pPr>
              <w:pStyle w:val="TableContents"/>
              <w:bidi w:val="0"/>
              <w:spacing w:before="0" w:after="283"/>
              <w:jc w:val="left"/>
              <w:rPr/>
            </w:pPr>
            <w:r>
              <w:rPr/>
              <w:t> </w:t>
            </w:r>
          </w:p>
        </w:tc>
        <w:tc>
          <w:tcPr>
            <w:tcW w:w="196" w:type="dxa"/>
            <w:tcBorders>
              <w:bottom w:val="single" w:sz="12" w:space="0" w:color="000000"/>
            </w:tcBorders>
            <w:tcMar>
              <w:top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662"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0.01</w:t>
            </w:r>
          </w:p>
        </w:tc>
        <w:tc>
          <w:tcPr>
            <w:tcW w:w="99" w:type="dxa"/>
            <w:tcBorders>
              <w:bottom w:val="single" w:sz="12" w:space="0" w:color="000000"/>
            </w:tcBorders>
            <w:tcMar>
              <w:top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the year ended December 31, 2024, the pro forma weighted-average shares outstanding exclude the 14,450,527 shares of Company common stock issued to non-GNI former holders of Cullgen capital stock as Merger consideration because the 2024 unaudited pro forma condensed combined statement of operations reflects only the retrospective common-control combination effects and does not reflect the acquisition/exchange of those non-GNI interests. Those shares are included in pro forma weighted-average shares outstanding for the three months ended March 31, 2026, and the year ended December 31, 2025, which reflect the ownership-attribution effects of the Merger.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diluted EPS numerator excludes the change in fair value of the warrant liability because the Company's liability-classified warrants are assumed to be share-settled for purposes of diluted EPS to the extent dilutive. For the year ended December 31, 2024, after giving effect to the adjustment described in Note [G], the pro forma diluted EPS numerator was positive after excluding the change in fair value of the warrant liability; accordingly, Gyre's historical dilutive securities were included in pro forma diluted weighted-average shares outstanding to the extent dilutive. Incremental shares from converted Cullgen options were excluded for all periods presented because inclusion would have been anti-dilutive for the three months ended March 31, 2026, and the year ended December 31, 2025, and because the 2024 statement of operations does not reflect the acquisition/exchange of non-GNI interests.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share of Series B Convertible Preferred Stock is convertible into five shares of the Company's common stock following stockholder approval of the Conversion Proposal, subject to applicable beneficial ownership limitations. The Conversion Proposal was approved by stockholders on June 10, 2026, subsequent to the Merger Closing Date. Because the stockholder approval requirement was a substantive conversion contingency that had not been satisfied as of the Merger Closing Date and was resolved subsequent to the Merger, the common shares issuable upon conversion of the Series B Convertible Preferred Stock have not been reflected in pro forma diluted weighted-average shares outstanding for any period presented.</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21797</Words>
  <Characters>123040</Characters>
  <CharactersWithSpaces>147876</CharactersWithSpaces>
  <Paragraphs>10234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